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acBuGuideStaticData_2160V"/>
    <w:bookmarkStart w:id="1" w:name="_MacBuGuideStaticData_2880H"/>
    <w:bookmarkStart w:id="2" w:name="_MacBuGuideStaticData_1808H"/>
    <w:bookmarkStart w:id="3" w:name="_MacBuGuideStaticData_10080V"/>
    <w:p w14:paraId="4EEF06EF" w14:textId="049FF302" w:rsidR="00ED55FA" w:rsidRPr="005335AC" w:rsidRDefault="00AF1FED" w:rsidP="00A536D3">
      <w:pPr>
        <w:spacing w:line="540" w:lineRule="exact"/>
        <w:rPr>
          <w:b/>
          <w:sz w:val="48"/>
        </w:rPr>
      </w:pPr>
      <w:r>
        <w:rPr>
          <w:noProof/>
        </w:rPr>
        <mc:AlternateContent>
          <mc:Choice Requires="wps">
            <w:drawing>
              <wp:anchor distT="0" distB="0" distL="114300" distR="114300" simplePos="0" relativeHeight="251657216" behindDoc="0" locked="0" layoutInCell="1" allowOverlap="1" wp14:anchorId="58A3212C" wp14:editId="073A464F">
                <wp:simplePos x="0" y="0"/>
                <wp:positionH relativeFrom="page">
                  <wp:align>right</wp:align>
                </wp:positionH>
                <wp:positionV relativeFrom="page">
                  <wp:posOffset>802640</wp:posOffset>
                </wp:positionV>
                <wp:extent cx="2705100" cy="345440"/>
                <wp:effectExtent l="0" t="0" r="0" b="0"/>
                <wp:wrapTight wrapText="bothSides">
                  <wp:wrapPolygon edited="0">
                    <wp:start x="0" y="0"/>
                    <wp:lineTo x="0" y="20250"/>
                    <wp:lineTo x="21448" y="20250"/>
                    <wp:lineTo x="2144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45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7446C" w14:textId="4E7B7266" w:rsidR="00ED55FA" w:rsidRPr="006F44DE" w:rsidRDefault="00AF1FED" w:rsidP="00A536D3">
                            <w:pPr>
                              <w:rPr>
                                <w:rFonts w:ascii="Calibri" w:hAnsi="Calibri"/>
                                <w:color w:val="FFFFFF"/>
                              </w:rPr>
                            </w:pPr>
                            <w:r>
                              <w:rPr>
                                <w:rFonts w:ascii="Calibri" w:hAnsi="Calibri"/>
                                <w:b/>
                                <w:color w:val="FFFFFF"/>
                              </w:rPr>
                              <w:t>MODEL STATE LEGISLATION</w:t>
                            </w:r>
                            <w:r w:rsidR="000022D0" w:rsidRPr="006F44DE">
                              <w:rPr>
                                <w:rFonts w:ascii="Calibri" w:hAnsi="Calibri"/>
                                <w:b/>
                                <w:color w:val="FFFFFF"/>
                              </w:rPr>
                              <w:t xml:space="preserve"> </w:t>
                            </w:r>
                            <w:r w:rsidR="000022D0" w:rsidRPr="006F44DE">
                              <w:rPr>
                                <w:rFonts w:ascii="Calibri" w:hAnsi="Calibri"/>
                                <w:color w:val="FFFFFF"/>
                              </w:rPr>
                              <w:t xml:space="preserve">| </w:t>
                            </w:r>
                            <w:r w:rsidR="00944E6B">
                              <w:rPr>
                                <w:rFonts w:ascii="Calibri" w:hAnsi="Calibri"/>
                                <w:color w:val="FFFFFF"/>
                              </w:rPr>
                              <w:t>November 2023</w:t>
                            </w:r>
                          </w:p>
                        </w:txbxContent>
                      </wps:txbx>
                      <wps:bodyPr rot="0" vert="horz" wrap="square" lIns="164592" tIns="73152" rIns="118872"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3212C" id="_x0000_t202" coordsize="21600,21600" o:spt="202" path="m,l,21600r21600,l21600,xe">
                <v:stroke joinstyle="miter"/>
                <v:path gradientshapeok="t" o:connecttype="rect"/>
              </v:shapetype>
              <v:shape id="Text Box 2" o:spid="_x0000_s1026" type="#_x0000_t202" style="position:absolute;margin-left:161.8pt;margin-top:63.2pt;width:213pt;height:27.2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" fillcolor="black" stroked="f">
                <v:textbox inset="12.96pt,5.76pt,9.36pt">
                  <w:txbxContent>
                    <w:p w14:paraId="4D67446C" w14:textId="4E7B7266" w:rsidR="00ED55FA" w:rsidRPr="006F44DE" w:rsidRDefault="00AF1FED" w:rsidP="00A536D3">
                      <w:pPr>
                        <w:rPr>
                          <w:rFonts w:ascii="Calibri" w:hAnsi="Calibri"/>
                          <w:color w:val="FFFFFF"/>
                        </w:rPr>
                      </w:pPr>
                      <w:r>
                        <w:rPr>
                          <w:rFonts w:ascii="Calibri" w:hAnsi="Calibri"/>
                          <w:b/>
                          <w:color w:val="FFFFFF"/>
                        </w:rPr>
                        <w:t>MODEL STATE LEGISLATION</w:t>
                      </w:r>
                      <w:r w:rsidR="000022D0" w:rsidRPr="006F44DE">
                        <w:rPr>
                          <w:rFonts w:ascii="Calibri" w:hAnsi="Calibri"/>
                          <w:b/>
                          <w:color w:val="FFFFFF"/>
                        </w:rPr>
                        <w:t xml:space="preserve"> </w:t>
                      </w:r>
                      <w:r w:rsidR="000022D0" w:rsidRPr="006F44DE">
                        <w:rPr>
                          <w:rFonts w:ascii="Calibri" w:hAnsi="Calibri"/>
                          <w:color w:val="FFFFFF"/>
                        </w:rPr>
                        <w:t xml:space="preserve">| </w:t>
                      </w:r>
                      <w:r w:rsidR="00944E6B">
                        <w:rPr>
                          <w:rFonts w:ascii="Calibri" w:hAnsi="Calibri"/>
                          <w:color w:val="FFFFFF"/>
                        </w:rPr>
                        <w:t>November 2023</w:t>
                      </w:r>
                    </w:p>
                  </w:txbxContent>
                </v:textbox>
                <w10:wrap type="tight" anchorx="page" anchory="page"/>
              </v:shape>
            </w:pict>
          </mc:Fallback>
        </mc:AlternateContent>
      </w:r>
      <w:r w:rsidR="000022D0">
        <w:rPr>
          <w:b/>
          <w:sz w:val="48"/>
        </w:rPr>
        <w:softHyphen/>
      </w:r>
    </w:p>
    <w:p w14:paraId="42E9CE53" w14:textId="77777777" w:rsidR="00ED55FA" w:rsidRPr="002F2621" w:rsidRDefault="000022D0" w:rsidP="00A536D3">
      <w:pPr>
        <w:spacing w:line="540" w:lineRule="exact"/>
        <w:rPr>
          <w:b/>
          <w:sz w:val="48"/>
          <w:vertAlign w:val="subscript"/>
        </w:rPr>
      </w:pPr>
      <w:r>
        <w:rPr>
          <w:b/>
          <w:sz w:val="48"/>
          <w:vertAlign w:val="subscript"/>
        </w:rPr>
        <w:softHyphen/>
      </w:r>
    </w:p>
    <w:p w14:paraId="1E9D1547" w14:textId="77777777" w:rsidR="00ED55FA" w:rsidRPr="005335AC" w:rsidRDefault="00ED55FA" w:rsidP="00A536D3">
      <w:pPr>
        <w:spacing w:line="540" w:lineRule="exact"/>
        <w:rPr>
          <w:b/>
          <w:sz w:val="48"/>
        </w:rPr>
      </w:pPr>
    </w:p>
    <w:p w14:paraId="17452D1A" w14:textId="77777777" w:rsidR="00AF1FED" w:rsidRDefault="000022D0" w:rsidP="00162C94">
      <w:pPr>
        <w:pStyle w:val="MainHead"/>
        <w:rPr>
          <w:bCs/>
        </w:rPr>
      </w:pPr>
      <w:r>
        <w:rPr>
          <w:b w:val="0"/>
        </w:rPr>
        <w:drawing>
          <wp:anchor distT="0" distB="0" distL="114300" distR="114300" simplePos="0" relativeHeight="251658240" behindDoc="0" locked="0" layoutInCell="1" allowOverlap="1" wp14:anchorId="053C806F" wp14:editId="7D17E7EE">
            <wp:simplePos x="0" y="0"/>
            <wp:positionH relativeFrom="page">
              <wp:posOffset>254000</wp:posOffset>
            </wp:positionH>
            <wp:positionV relativeFrom="page">
              <wp:posOffset>111760</wp:posOffset>
            </wp:positionV>
            <wp:extent cx="2258060" cy="1389380"/>
            <wp:effectExtent l="0" t="0" r="0" b="0"/>
            <wp:wrapTight wrapText="bothSides">
              <wp:wrapPolygon edited="0">
                <wp:start x="2916" y="5528"/>
                <wp:lineTo x="2916" y="15795"/>
                <wp:lineTo x="15064" y="15795"/>
                <wp:lineTo x="15307" y="15400"/>
                <wp:lineTo x="14578" y="13821"/>
                <wp:lineTo x="13363" y="11846"/>
                <wp:lineTo x="18223" y="10267"/>
                <wp:lineTo x="18466" y="8293"/>
                <wp:lineTo x="15550" y="5528"/>
                <wp:lineTo x="2916" y="5528"/>
              </wp:wrapPolygon>
            </wp:wrapTight>
            <wp:docPr id="6" name="Picture 0" descr="NELP_Logo_1805+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LP_Logo_1805+Black.eps"/>
                    <pic:cNvPicPr>
                      <a:picLocks noChangeAspect="1" noChangeArrowheads="1"/>
                    </pic:cNvPicPr>
                  </pic:nvPicPr>
                  <pic:blipFill>
                    <a:blip r:embed="rId8"/>
                    <a:srcRect/>
                    <a:stretch>
                      <a:fillRect/>
                    </a:stretch>
                  </pic:blipFill>
                  <pic:spPr bwMode="auto">
                    <a:xfrm>
                      <a:off x="0" y="0"/>
                      <a:ext cx="2258060" cy="1389380"/>
                    </a:xfrm>
                    <a:prstGeom prst="rect">
                      <a:avLst/>
                    </a:prstGeom>
                    <a:noFill/>
                    <a:ln w="9525">
                      <a:noFill/>
                      <a:miter lim="800000"/>
                      <a:headEnd/>
                      <a:tailEnd/>
                    </a:ln>
                  </pic:spPr>
                </pic:pic>
              </a:graphicData>
            </a:graphic>
          </wp:anchor>
        </w:drawing>
      </w:r>
      <w:r w:rsidR="00AF1FED">
        <w:rPr>
          <w:bCs/>
        </w:rPr>
        <w:t>Model State Legislation</w:t>
      </w:r>
      <w:r w:rsidR="00162C94" w:rsidRPr="00162C94">
        <w:rPr>
          <w:bCs/>
        </w:rPr>
        <w:t>:</w:t>
      </w:r>
      <w:r w:rsidR="00AF1FED">
        <w:rPr>
          <w:bCs/>
        </w:rPr>
        <w:t xml:space="preserve"> </w:t>
      </w:r>
    </w:p>
    <w:p w14:paraId="446C0813" w14:textId="0B2A7EEB" w:rsidR="00162C94" w:rsidRPr="00162C94" w:rsidRDefault="00604851" w:rsidP="00162C94">
      <w:pPr>
        <w:pStyle w:val="MainHead"/>
        <w:rPr>
          <w:bCs/>
        </w:rPr>
      </w:pPr>
      <w:r>
        <w:rPr>
          <w:bCs/>
        </w:rPr>
        <w:t>Good Cause Quits</w:t>
      </w:r>
    </w:p>
    <w:p w14:paraId="67BDD6DD" w14:textId="77777777" w:rsidR="00AF1FED" w:rsidRDefault="00AF1FED" w:rsidP="00162C94">
      <w:pPr>
        <w:pStyle w:val="Introduction"/>
      </w:pPr>
    </w:p>
    <w:p w14:paraId="0E68D905" w14:textId="199D7EFC" w:rsidR="00162C94" w:rsidRPr="00162C94" w:rsidRDefault="00162C94" w:rsidP="00162C94">
      <w:pPr>
        <w:pStyle w:val="Introduction"/>
      </w:pPr>
      <w:r w:rsidRPr="00162C94">
        <w:t xml:space="preserve">This </w:t>
      </w:r>
      <w:r w:rsidR="00AF1FED">
        <w:t>model state legislation</w:t>
      </w:r>
      <w:r w:rsidRPr="00162C94">
        <w:t xml:space="preserve"> is part of the Unemployment Insurance Policy Hub created by the National Employment Law Project as a reference guide for state advocates</w:t>
      </w:r>
      <w:r w:rsidR="00AF1FED">
        <w:rPr>
          <w:rFonts w:ascii="Arial" w:eastAsiaTheme="minorHAnsi" w:hAnsi="Arial" w:cs="Arial"/>
          <w:color w:val="auto"/>
          <w:sz w:val="25"/>
          <w:szCs w:val="25"/>
          <w:shd w:val="clear" w:color="auto" w:fill="FFFFFF"/>
        </w:rPr>
        <w:t xml:space="preserve"> </w:t>
      </w:r>
      <w:r w:rsidR="00AF1FED" w:rsidRPr="00AF1FED">
        <w:t>to support efforts that will strengthen the economic security of workers and their families</w:t>
      </w:r>
      <w:r w:rsidRPr="00162C94">
        <w:t xml:space="preserve">. For other Policy Hub resources, see </w:t>
      </w:r>
      <w:hyperlink r:id="rId9" w:history="1">
        <w:r w:rsidR="00604851" w:rsidRPr="001255DF">
          <w:rPr>
            <w:rStyle w:val="Hyperlink"/>
          </w:rPr>
          <w:t>www.uipolicyhub.org</w:t>
        </w:r>
      </w:hyperlink>
      <w:r w:rsidR="00604851">
        <w:t xml:space="preserve">. </w:t>
      </w:r>
    </w:p>
    <w:p w14:paraId="7162514C" w14:textId="77777777" w:rsidR="00ED55FA" w:rsidRPr="00B2291C" w:rsidRDefault="00ED55FA" w:rsidP="00A536D3">
      <w:pPr>
        <w:pStyle w:val="Introduction"/>
      </w:pPr>
    </w:p>
    <w:p w14:paraId="63D5BB88" w14:textId="780693F6" w:rsidR="00ED55FA" w:rsidRPr="00041778" w:rsidRDefault="00AF1FED" w:rsidP="00585CE8">
      <w:pPr>
        <w:pStyle w:val="MainSubhead"/>
      </w:pPr>
      <w:r>
        <w:t>Introduction</w:t>
      </w:r>
    </w:p>
    <w:bookmarkEnd w:id="0"/>
    <w:bookmarkEnd w:id="1"/>
    <w:bookmarkEnd w:id="2"/>
    <w:bookmarkEnd w:id="3"/>
    <w:p w14:paraId="5D15A9E7" w14:textId="1C7D88F8" w:rsidR="00CD37D9" w:rsidRDefault="00604851" w:rsidP="001A0086">
      <w:pPr>
        <w:spacing w:line="276" w:lineRule="auto"/>
      </w:pPr>
      <w:r w:rsidRPr="00CF4C39">
        <w:t>Below is model state legislation that you can use to implement the policy recommendations from our </w:t>
      </w:r>
      <w:hyperlink r:id="rId10" w:anchor="_edn17" w:history="1">
        <w:r w:rsidRPr="00F468CE">
          <w:rPr>
            <w:rStyle w:val="Hyperlink"/>
          </w:rPr>
          <w:t>good cause quits policy advocacy brief</w:t>
        </w:r>
      </w:hyperlink>
      <w:r w:rsidRPr="00CF4C39">
        <w:t xml:space="preserve">. </w:t>
      </w:r>
      <w:r w:rsidR="00CD37D9">
        <w:t xml:space="preserve">Generally, workers are not eligible for </w:t>
      </w:r>
      <w:r w:rsidR="0037509A">
        <w:t>unemployment insurance (U</w:t>
      </w:r>
      <w:r w:rsidR="00CD37D9">
        <w:t>I</w:t>
      </w:r>
      <w:r w:rsidR="0037509A">
        <w:t>)</w:t>
      </w:r>
      <w:r w:rsidR="00CD37D9">
        <w:t xml:space="preserve"> if they quit their job. However, each state recognizes what are known as “good cause quits” that allow workers who quit their job for certain specified reasons to still qualify for UI</w:t>
      </w:r>
      <w:r w:rsidR="00986DE2">
        <w:t>.</w:t>
      </w:r>
    </w:p>
    <w:p w14:paraId="6C796C77" w14:textId="77777777" w:rsidR="00CD37D9" w:rsidRDefault="00CD37D9" w:rsidP="001A0086">
      <w:pPr>
        <w:spacing w:line="276" w:lineRule="auto"/>
      </w:pPr>
    </w:p>
    <w:p w14:paraId="56961678" w14:textId="5A93CB7F" w:rsidR="00FB57B6" w:rsidRDefault="00604851" w:rsidP="001A0086">
      <w:pPr>
        <w:spacing w:line="276" w:lineRule="auto"/>
      </w:pPr>
      <w:r w:rsidRPr="00CF4C39">
        <w:t xml:space="preserve">This model can be used to expand </w:t>
      </w:r>
      <w:r w:rsidR="00CD37D9">
        <w:t xml:space="preserve">what is considered </w:t>
      </w:r>
      <w:r w:rsidR="00250166">
        <w:t>a “good</w:t>
      </w:r>
      <w:r w:rsidR="00CD37D9">
        <w:t xml:space="preserve"> cause quit” in your</w:t>
      </w:r>
      <w:r w:rsidR="00FB57B6">
        <w:t xml:space="preserve"> state.</w:t>
      </w:r>
      <w:r w:rsidR="00CD37D9">
        <w:t xml:space="preserve"> Specifically, </w:t>
      </w:r>
      <w:r w:rsidR="00905E38">
        <w:t>t</w:t>
      </w:r>
      <w:r>
        <w:t xml:space="preserve">he model provides </w:t>
      </w:r>
      <w:r w:rsidR="00905E38">
        <w:t>language to implement</w:t>
      </w:r>
      <w:r w:rsidR="00FB57B6">
        <w:t xml:space="preserve"> several compelling personal reasons and expand employer-related reasons that force a worker to quit their job. For states that restrict good cause quits to those related to employment, it offers an example of how to remove that restriction. </w:t>
      </w:r>
      <w:r w:rsidR="00352823">
        <w:t>T</w:t>
      </w:r>
      <w:r w:rsidRPr="00CF4C39">
        <w:t>he model legislation also includes provisions</w:t>
      </w:r>
      <w:r w:rsidR="00FB57B6">
        <w:t xml:space="preserve"> that would simplify the process </w:t>
      </w:r>
      <w:r w:rsidR="001D3451">
        <w:t xml:space="preserve">to make </w:t>
      </w:r>
      <w:r w:rsidR="00FB57B6">
        <w:t xml:space="preserve">it easier for a worker to prove they quit with good cause and ensure having to quit, for any cause, does not severely undercut their right to UI benefits in the future. </w:t>
      </w:r>
      <w:r>
        <w:t xml:space="preserve"> </w:t>
      </w:r>
    </w:p>
    <w:p w14:paraId="3997D4DE" w14:textId="77777777" w:rsidR="00FB57B6" w:rsidRDefault="00FB57B6" w:rsidP="001A0086">
      <w:pPr>
        <w:spacing w:line="276" w:lineRule="auto"/>
      </w:pPr>
    </w:p>
    <w:p w14:paraId="7AF6540B" w14:textId="0C45F485" w:rsidR="00604851" w:rsidRDefault="00604851" w:rsidP="001A0086">
      <w:pPr>
        <w:spacing w:line="276" w:lineRule="auto"/>
      </w:pPr>
      <w:r>
        <w:t>There are a few provisions where options are offered</w:t>
      </w:r>
      <w:r w:rsidR="001D3451">
        <w:t>;</w:t>
      </w:r>
      <w:r>
        <w:t xml:space="preserve"> you should incorporate the option that works best within your current </w:t>
      </w:r>
      <w:r w:rsidR="00352823">
        <w:t>political context and state law</w:t>
      </w:r>
      <w:r>
        <w:t>.</w:t>
      </w:r>
      <w:r w:rsidRPr="00CF4C39">
        <w:t xml:space="preserve"> Please see the </w:t>
      </w:r>
      <w:hyperlink r:id="rId11" w:anchor="_edn17" w:history="1">
        <w:r w:rsidRPr="00F468CE">
          <w:rPr>
            <w:rStyle w:val="Hyperlink"/>
          </w:rPr>
          <w:t>good cause quit policy advocacy brief </w:t>
        </w:r>
      </w:hyperlink>
      <w:r w:rsidRPr="00CF4C39">
        <w:t xml:space="preserve">for information and context </w:t>
      </w:r>
      <w:r w:rsidR="001D3451">
        <w:t>regarding</w:t>
      </w:r>
      <w:r w:rsidRPr="00CF4C39">
        <w:t xml:space="preserve"> the various </w:t>
      </w:r>
      <w:r w:rsidR="00FB57B6">
        <w:t>provisions</w:t>
      </w:r>
      <w:r w:rsidRPr="00CF4C39">
        <w:t>, as well as additional resources to support this model.</w:t>
      </w:r>
      <w:r w:rsidR="00FB57B6">
        <w:t xml:space="preserve"> </w:t>
      </w:r>
    </w:p>
    <w:p w14:paraId="50C135DA" w14:textId="77777777" w:rsidR="00604851" w:rsidRPr="00CF4C39" w:rsidRDefault="00604851" w:rsidP="001A0086">
      <w:pPr>
        <w:spacing w:line="276" w:lineRule="auto"/>
        <w:rPr>
          <w:rFonts w:cstheme="minorHAnsi"/>
          <w:color w:val="181614" w:themeColor="text1"/>
          <w:shd w:val="clear" w:color="auto" w:fill="FFFFFF"/>
        </w:rPr>
      </w:pPr>
    </w:p>
    <w:p w14:paraId="57031F7C" w14:textId="4DBD4F3D" w:rsidR="00604851" w:rsidRPr="00CF4C39" w:rsidRDefault="00604851" w:rsidP="001A0086">
      <w:pPr>
        <w:spacing w:line="276" w:lineRule="auto"/>
      </w:pPr>
      <w:r w:rsidRPr="00CF4C39">
        <w:t>Please note that the process of drafting legislation can vary depending on state-specific legal and policy issues. Although no state</w:t>
      </w:r>
      <w:r w:rsidR="00FB57B6">
        <w:t xml:space="preserve"> contains all the </w:t>
      </w:r>
      <w:r w:rsidR="00250166">
        <w:t xml:space="preserve">provisions </w:t>
      </w:r>
      <w:r w:rsidR="00250166" w:rsidRPr="00CF4C39">
        <w:t>covered</w:t>
      </w:r>
      <w:r w:rsidRPr="00CF4C39">
        <w:t xml:space="preserve"> by this model legislation, it may include several, so </w:t>
      </w:r>
      <w:r w:rsidR="00FB57B6">
        <w:t>you would need to ad</w:t>
      </w:r>
      <w:r w:rsidR="0089174C">
        <w:t>a</w:t>
      </w:r>
      <w:r w:rsidR="00FB57B6">
        <w:t xml:space="preserve">pt </w:t>
      </w:r>
      <w:r w:rsidRPr="00CF4C39">
        <w:t xml:space="preserve">this </w:t>
      </w:r>
      <w:r w:rsidR="00352823">
        <w:t xml:space="preserve">model </w:t>
      </w:r>
      <w:r w:rsidRPr="00CF4C39">
        <w:t xml:space="preserve">to </w:t>
      </w:r>
      <w:r>
        <w:t>complement</w:t>
      </w:r>
      <w:r w:rsidRPr="00CF4C39">
        <w:t xml:space="preserve"> current law</w:t>
      </w:r>
      <w:r>
        <w:t xml:space="preserve">, or </w:t>
      </w:r>
      <w:r w:rsidRPr="00CF4C39">
        <w:t xml:space="preserve">to match your state’s existing UI law terms and definitions. </w:t>
      </w:r>
      <w:r w:rsidR="00FB57B6">
        <w:t>You also do not have to use all the provisions provided. Rather, you may choose to focus</w:t>
      </w:r>
      <w:r w:rsidR="0089174C">
        <w:t xml:space="preserve"> on</w:t>
      </w:r>
      <w:r w:rsidR="00FB57B6">
        <w:t xml:space="preserve"> implementing just one or two of the good cause quits identified in this model. </w:t>
      </w:r>
      <w:r w:rsidRPr="00CF4C39">
        <w:t xml:space="preserve">Please contact uihelp@nelp.org for more information on how to adapt or customize the model. A downloadable text version of this model state legislation is available </w:t>
      </w:r>
      <w:hyperlink r:id="rId12" w:history="1">
        <w:r w:rsidRPr="00243920">
          <w:rPr>
            <w:rStyle w:val="Hyperlink"/>
          </w:rPr>
          <w:t>here</w:t>
        </w:r>
      </w:hyperlink>
      <w:r w:rsidRPr="00CF4C39">
        <w:t xml:space="preserve">.  </w:t>
      </w:r>
    </w:p>
    <w:p w14:paraId="27BF5222" w14:textId="77777777" w:rsidR="0037509A" w:rsidRDefault="0037509A" w:rsidP="00585CE8">
      <w:pPr>
        <w:pStyle w:val="MainSubhead"/>
      </w:pPr>
    </w:p>
    <w:p w14:paraId="4F22C00F" w14:textId="77777777" w:rsidR="00986DE2" w:rsidRDefault="00986DE2" w:rsidP="00585CE8">
      <w:pPr>
        <w:pStyle w:val="MainSubhead"/>
      </w:pPr>
    </w:p>
    <w:p w14:paraId="3EA1EFE1" w14:textId="51FF6DC3" w:rsidR="00ED55FA" w:rsidRPr="00041778" w:rsidRDefault="00AF1FED" w:rsidP="00585CE8">
      <w:pPr>
        <w:pStyle w:val="MainSubhead"/>
      </w:pPr>
      <w:r>
        <w:lastRenderedPageBreak/>
        <w:t>Model State Legislation</w:t>
      </w:r>
    </w:p>
    <w:p w14:paraId="61AB0AFF" w14:textId="3C546F55" w:rsidR="00604851" w:rsidRPr="00604851" w:rsidRDefault="00604851" w:rsidP="00604851">
      <w:r w:rsidRPr="00604851">
        <w:t>You can use th</w:t>
      </w:r>
      <w:r w:rsidR="0089174C">
        <w:t>e</w:t>
      </w:r>
      <w:r w:rsidR="00AA5E99">
        <w:t xml:space="preserve"> downloadable</w:t>
      </w:r>
      <w:r w:rsidRPr="00604851">
        <w:t xml:space="preserve"> </w:t>
      </w:r>
      <w:r w:rsidR="0089174C">
        <w:t>W</w:t>
      </w:r>
      <w:r w:rsidRPr="00604851">
        <w:t>ord version to customize the model state legislation to fit the needs of your state. The red text is meant to help you customize the model and should be removed before submitting to any state legislature.</w:t>
      </w:r>
    </w:p>
    <w:p w14:paraId="276B57F0" w14:textId="77777777" w:rsidR="00352823" w:rsidRDefault="00352823" w:rsidP="00604851">
      <w:pPr>
        <w:rPr>
          <w:b/>
          <w:bCs/>
        </w:rPr>
      </w:pPr>
    </w:p>
    <w:p w14:paraId="30068627" w14:textId="13A7CCE0" w:rsidR="00604851" w:rsidRDefault="00604851" w:rsidP="00604851">
      <w:pPr>
        <w:rPr>
          <w:b/>
          <w:bCs/>
        </w:rPr>
      </w:pPr>
      <w:r w:rsidRPr="00E36B3A">
        <w:rPr>
          <w:b/>
          <w:bCs/>
        </w:rPr>
        <w:t>Section 1. Finding and Declarations</w:t>
      </w:r>
    </w:p>
    <w:p w14:paraId="0555433D" w14:textId="485FD71D" w:rsidR="00604851" w:rsidRDefault="00604851" w:rsidP="00604851">
      <w:r>
        <w:t>The Legislature finds and declares</w:t>
      </w:r>
      <w:r w:rsidR="00352823">
        <w:t xml:space="preserve"> that</w:t>
      </w:r>
      <w:r>
        <w:t>:</w:t>
      </w:r>
    </w:p>
    <w:p w14:paraId="6E7A8CE9" w14:textId="77777777" w:rsidR="00604851" w:rsidRDefault="00604851" w:rsidP="00604851"/>
    <w:p w14:paraId="7017BB68" w14:textId="11A98517" w:rsidR="00604851" w:rsidRDefault="077FBC68" w:rsidP="0037509A">
      <w:pPr>
        <w:pStyle w:val="ListParagraph"/>
        <w:numPr>
          <w:ilvl w:val="0"/>
          <w:numId w:val="29"/>
        </w:numPr>
        <w:spacing w:after="160" w:line="259" w:lineRule="auto"/>
        <w:contextualSpacing/>
      </w:pPr>
      <w:r>
        <w:t xml:space="preserve">Ensuring equitable access to unemployment insurance (UI) for all jobless workers is a matter of statewide concern. Current law excludes far too many workers who need to voluntarily leave their job for compelling personal reasons, </w:t>
      </w:r>
      <w:r w:rsidR="008F442E">
        <w:t xml:space="preserve">and </w:t>
      </w:r>
      <w:r>
        <w:t>this disproportionately impacts women</w:t>
      </w:r>
      <w:r w:rsidR="006D3452">
        <w:t>, particularly</w:t>
      </w:r>
      <w:r>
        <w:t xml:space="preserve"> women of color who are more likely to be caregivers and need to leave their job due to caregiving responsibilities. </w:t>
      </w:r>
      <w:r w:rsidR="00B80CF4" w:rsidRPr="00B80CF4">
        <w:rPr>
          <w:color w:val="FF0000"/>
        </w:rPr>
        <w:t>[insert any state specific stats]</w:t>
      </w:r>
      <w:r w:rsidR="00B80CF4">
        <w:t>.</w:t>
      </w:r>
    </w:p>
    <w:p w14:paraId="5DD5A4D5" w14:textId="77777777" w:rsidR="00865D7E" w:rsidRDefault="00865D7E" w:rsidP="00865D7E">
      <w:pPr>
        <w:pStyle w:val="ListParagraph"/>
        <w:numPr>
          <w:ilvl w:val="0"/>
          <w:numId w:val="0"/>
        </w:numPr>
        <w:spacing w:after="160" w:line="259" w:lineRule="auto"/>
        <w:ind w:left="1080"/>
        <w:contextualSpacing/>
      </w:pPr>
    </w:p>
    <w:p w14:paraId="3EF64E35" w14:textId="55D94FBC" w:rsidR="00604851" w:rsidRPr="00986DE2" w:rsidRDefault="00604851" w:rsidP="0037509A">
      <w:pPr>
        <w:pStyle w:val="ListParagraph"/>
        <w:numPr>
          <w:ilvl w:val="0"/>
          <w:numId w:val="29"/>
        </w:numPr>
        <w:spacing w:after="160" w:line="259" w:lineRule="auto"/>
        <w:contextualSpacing/>
        <w:rPr>
          <w:color w:val="181614" w:themeColor="text1"/>
        </w:rPr>
      </w:pPr>
      <w:r>
        <w:t xml:space="preserve">Expanding good cause quits increases the percentage of unemployed workers who can </w:t>
      </w:r>
      <w:r w:rsidRPr="00FF7A43">
        <w:rPr>
          <w:color w:val="181614" w:themeColor="text1"/>
        </w:rPr>
        <w:t>access UI.</w:t>
      </w:r>
      <w:r w:rsidR="0037509A">
        <w:rPr>
          <w:color w:val="181614" w:themeColor="text1"/>
        </w:rPr>
        <w:t xml:space="preserve"> </w:t>
      </w:r>
      <w:r w:rsidR="00C827C2" w:rsidRPr="00374B9D">
        <w:t xml:space="preserve">Prior to the pandemic, the percentage of unemployed workers receiving UI benefits was declining, with the national average at about 22%. </w:t>
      </w:r>
      <w:r w:rsidR="0037509A" w:rsidRPr="0037509A">
        <w:rPr>
          <w:color w:val="FF0000"/>
        </w:rPr>
        <w:t>[insert state specific stats]</w:t>
      </w:r>
      <w:r w:rsidR="00C827C2" w:rsidRPr="00374B9D">
        <w:t xml:space="preserve">. </w:t>
      </w:r>
      <w:r w:rsidR="00250166">
        <w:t>E</w:t>
      </w:r>
      <w:r w:rsidR="00C827C2" w:rsidRPr="00374B9D">
        <w:t>xpanding good cause quits improve</w:t>
      </w:r>
      <w:r w:rsidR="00250166">
        <w:t>s</w:t>
      </w:r>
      <w:r w:rsidR="00C827C2" w:rsidRPr="00374B9D">
        <w:t xml:space="preserve"> UI recipiency, potentially covering 3% more workers nationwide, with women comprising 77% and </w:t>
      </w:r>
      <w:r w:rsidR="008F442E">
        <w:t>underpaid</w:t>
      </w:r>
      <w:r w:rsidR="00C827C2" w:rsidRPr="00374B9D">
        <w:t xml:space="preserve"> workers </w:t>
      </w:r>
      <w:r w:rsidR="00250166">
        <w:t xml:space="preserve">comprising </w:t>
      </w:r>
      <w:r w:rsidR="00C827C2" w:rsidRPr="00374B9D">
        <w:t>47% of that expansion</w:t>
      </w:r>
      <w:r w:rsidR="00374B9D" w:rsidRPr="00374B9D">
        <w:t xml:space="preserve">. </w:t>
      </w:r>
    </w:p>
    <w:p w14:paraId="2179BD28" w14:textId="77777777" w:rsidR="00986DE2" w:rsidRPr="00986DE2" w:rsidRDefault="00986DE2" w:rsidP="00986DE2">
      <w:pPr>
        <w:pStyle w:val="ListParagraph"/>
        <w:numPr>
          <w:ilvl w:val="0"/>
          <w:numId w:val="0"/>
        </w:numPr>
        <w:ind w:left="180"/>
        <w:rPr>
          <w:color w:val="181614" w:themeColor="text1"/>
        </w:rPr>
      </w:pPr>
    </w:p>
    <w:p w14:paraId="411F8B6F" w14:textId="20BDFF59" w:rsidR="0037509A" w:rsidRDefault="00986DE2" w:rsidP="0037509A">
      <w:pPr>
        <w:pStyle w:val="ListParagraph"/>
        <w:numPr>
          <w:ilvl w:val="0"/>
          <w:numId w:val="29"/>
        </w:numPr>
        <w:spacing w:after="160" w:line="259" w:lineRule="auto"/>
        <w:contextualSpacing/>
        <w:rPr>
          <w:color w:val="181614" w:themeColor="text1"/>
        </w:rPr>
      </w:pPr>
      <w:r>
        <w:rPr>
          <w:color w:val="181614" w:themeColor="text1"/>
        </w:rPr>
        <w:t>Expanding access to UI helps workers, employers, and the state economy.  Without access to UI, w</w:t>
      </w:r>
      <w:r w:rsidRPr="00986DE2">
        <w:rPr>
          <w:color w:val="181614" w:themeColor="text1"/>
        </w:rPr>
        <w:t xml:space="preserve">orkers </w:t>
      </w:r>
      <w:r w:rsidR="006D3452">
        <w:rPr>
          <w:color w:val="181614" w:themeColor="text1"/>
        </w:rPr>
        <w:t xml:space="preserve">are more likely to </w:t>
      </w:r>
      <w:r w:rsidRPr="00986DE2">
        <w:rPr>
          <w:color w:val="181614" w:themeColor="text1"/>
        </w:rPr>
        <w:t xml:space="preserve">miss rent payments, lose their healthcare, and cannot afford groceries. Employers lose trained and long-term employees who are forced to leave their communities in search of jobs elsewhere. </w:t>
      </w:r>
      <w:r>
        <w:rPr>
          <w:color w:val="181614" w:themeColor="text1"/>
        </w:rPr>
        <w:t>The</w:t>
      </w:r>
      <w:r w:rsidRPr="00986DE2">
        <w:rPr>
          <w:color w:val="181614" w:themeColor="text1"/>
        </w:rPr>
        <w:t xml:space="preserve"> economy suffers as unemployment compensation’s ability to act as an economic stabilizer is severely undercut, as there is less money for workers to spend in their local economies during economic downturns.</w:t>
      </w:r>
      <w:r>
        <w:rPr>
          <w:color w:val="181614" w:themeColor="text1"/>
        </w:rPr>
        <w:t xml:space="preserve"> </w:t>
      </w:r>
    </w:p>
    <w:p w14:paraId="54FD78BF" w14:textId="77777777" w:rsidR="00711FA4" w:rsidRPr="00711FA4" w:rsidRDefault="00711FA4" w:rsidP="00711FA4">
      <w:pPr>
        <w:pStyle w:val="ListParagraph"/>
        <w:numPr>
          <w:ilvl w:val="0"/>
          <w:numId w:val="0"/>
        </w:numPr>
        <w:ind w:left="180"/>
        <w:rPr>
          <w:color w:val="181614" w:themeColor="text1"/>
        </w:rPr>
      </w:pPr>
    </w:p>
    <w:p w14:paraId="6917ACFF" w14:textId="512C5886" w:rsidR="00604851" w:rsidRDefault="00604851" w:rsidP="0037509A">
      <w:pPr>
        <w:pStyle w:val="ListParagraph"/>
        <w:numPr>
          <w:ilvl w:val="0"/>
          <w:numId w:val="29"/>
        </w:numPr>
        <w:spacing w:after="160" w:line="259" w:lineRule="auto"/>
        <w:contextualSpacing/>
      </w:pPr>
      <w:r>
        <w:t xml:space="preserve">Having well-articulated reasons </w:t>
      </w:r>
      <w:r w:rsidR="0037509A">
        <w:t xml:space="preserve">for when a worker who is forced to quit their job qualifies for UI </w:t>
      </w:r>
      <w:r>
        <w:t>improves efficiency and predictability for workers</w:t>
      </w:r>
      <w:r w:rsidR="0037509A">
        <w:t xml:space="preserve"> and the state</w:t>
      </w:r>
      <w:r w:rsidR="007112C6">
        <w:t xml:space="preserve">. </w:t>
      </w:r>
      <w:r w:rsidR="00BB2CDD">
        <w:t>When the law is unpredictable and unclear, w</w:t>
      </w:r>
      <w:r w:rsidR="00DE3952">
        <w:t xml:space="preserve">orkers suffer </w:t>
      </w:r>
      <w:r w:rsidR="00BB2CDD">
        <w:t xml:space="preserve">from </w:t>
      </w:r>
      <w:r w:rsidR="00DE3952">
        <w:t xml:space="preserve">needless delays </w:t>
      </w:r>
      <w:r w:rsidR="00BB2CDD">
        <w:t>in benefits</w:t>
      </w:r>
      <w:r w:rsidR="0037509A">
        <w:t xml:space="preserve"> and there are significant costs to the state in the administrative burden of having to process needless appeals</w:t>
      </w:r>
      <w:r w:rsidR="00BB2CDD">
        <w:t>.</w:t>
      </w:r>
    </w:p>
    <w:p w14:paraId="4C54B2FD" w14:textId="77777777" w:rsidR="00604851" w:rsidRDefault="00604851" w:rsidP="00604851">
      <w:pPr>
        <w:rPr>
          <w:color w:val="FF0000"/>
        </w:rPr>
      </w:pPr>
      <w:r w:rsidRPr="00E36B3A">
        <w:rPr>
          <w:b/>
          <w:bCs/>
        </w:rPr>
        <w:t xml:space="preserve">Section 2. Definitions </w:t>
      </w:r>
      <w:r w:rsidRPr="00E36B3A">
        <w:rPr>
          <w:color w:val="FF0000"/>
        </w:rPr>
        <w:t>[Note: State law may already define these terms. If so, reference the applicable state law definitions.]</w:t>
      </w:r>
    </w:p>
    <w:p w14:paraId="780DBB1B" w14:textId="77777777" w:rsidR="00604851" w:rsidRDefault="00604851" w:rsidP="00604851"/>
    <w:p w14:paraId="68637384" w14:textId="77777777" w:rsidR="00604851" w:rsidRDefault="00604851" w:rsidP="00604851">
      <w:pPr>
        <w:rPr>
          <w:color w:val="FF0000"/>
        </w:rPr>
      </w:pPr>
      <w:r w:rsidRPr="00E36B3A">
        <w:rPr>
          <w:b/>
          <w:bCs/>
        </w:rPr>
        <w:t xml:space="preserve">“Agency” </w:t>
      </w:r>
      <w:r>
        <w:t xml:space="preserve">means </w:t>
      </w:r>
      <w:r w:rsidRPr="00E36B3A">
        <w:rPr>
          <w:color w:val="FF0000"/>
        </w:rPr>
        <w:t>[Enter the name of the state agency that administers unemployment insurance].</w:t>
      </w:r>
    </w:p>
    <w:p w14:paraId="7EB8ABCF" w14:textId="77777777" w:rsidR="00604851" w:rsidRPr="00E36B3A" w:rsidRDefault="00604851" w:rsidP="00604851">
      <w:pPr>
        <w:rPr>
          <w:rFonts w:cstheme="minorHAnsi"/>
          <w:color w:val="181614" w:themeColor="text1"/>
        </w:rPr>
      </w:pPr>
    </w:p>
    <w:p w14:paraId="5C7DCE22" w14:textId="5425828A" w:rsidR="00893AEB" w:rsidRPr="00FF7A43" w:rsidRDefault="007112C6" w:rsidP="00604851">
      <w:r w:rsidRPr="00E36B3A">
        <w:rPr>
          <w:rFonts w:cstheme="minorHAnsi"/>
          <w:b/>
          <w:bCs/>
          <w:color w:val="181614" w:themeColor="text1"/>
        </w:rPr>
        <w:t xml:space="preserve">“Child” </w:t>
      </w:r>
      <w:r w:rsidRPr="00BF0429">
        <w:t>means a biological</w:t>
      </w:r>
      <w:r w:rsidRPr="00D65016">
        <w:t>, adopted, foster, stepchild, or legal ward of the individual or any other person to whom the individual stands in loco parentis</w:t>
      </w:r>
      <w:r>
        <w:t>.</w:t>
      </w:r>
    </w:p>
    <w:p w14:paraId="7D1EDD1E" w14:textId="77777777" w:rsidR="00604851" w:rsidRPr="00604851" w:rsidRDefault="00604851" w:rsidP="00604851">
      <w:pPr>
        <w:rPr>
          <w:rFonts w:cstheme="minorHAnsi"/>
          <w:color w:val="181614" w:themeColor="text1"/>
        </w:rPr>
      </w:pPr>
    </w:p>
    <w:p w14:paraId="7109EFDC" w14:textId="77777777" w:rsidR="00604851" w:rsidRPr="00604851" w:rsidRDefault="00604851" w:rsidP="00604851">
      <w:pPr>
        <w:rPr>
          <w:rFonts w:cstheme="minorHAnsi"/>
          <w:color w:val="181614" w:themeColor="text1"/>
        </w:rPr>
      </w:pPr>
      <w:r w:rsidRPr="00604851">
        <w:rPr>
          <w:rFonts w:cstheme="minorHAnsi"/>
          <w:b/>
          <w:bCs/>
          <w:color w:val="181614" w:themeColor="text1"/>
        </w:rPr>
        <w:t xml:space="preserve">“Dependent” </w:t>
      </w:r>
      <w:r w:rsidRPr="00604851">
        <w:rPr>
          <w:rFonts w:cstheme="minorHAnsi"/>
          <w:color w:val="181614" w:themeColor="text1"/>
        </w:rPr>
        <w:t xml:space="preserve">means </w:t>
      </w:r>
      <w:r w:rsidRPr="00604851">
        <w:t>any of the following persons who receive at least half of their financial support from the individual claiming benefits:</w:t>
      </w:r>
    </w:p>
    <w:p w14:paraId="2543BB0D" w14:textId="77777777" w:rsidR="00604851" w:rsidRPr="00604851" w:rsidRDefault="00604851" w:rsidP="007C45A0">
      <w:pPr>
        <w:ind w:left="900" w:hanging="180"/>
      </w:pPr>
      <w:r w:rsidRPr="00604851">
        <w:t>(1) A child under the age of 18.</w:t>
      </w:r>
    </w:p>
    <w:p w14:paraId="326BB113" w14:textId="77777777" w:rsidR="00604851" w:rsidRPr="00604851" w:rsidRDefault="00604851" w:rsidP="007C45A0">
      <w:pPr>
        <w:ind w:left="720"/>
      </w:pPr>
      <w:r w:rsidRPr="00604851">
        <w:lastRenderedPageBreak/>
        <w:t>(2) A child between 18 and 26 years old who is a full-time student as defined by their educational institution, at a secondary school, vocational school, community or junior college, college, or university.</w:t>
      </w:r>
    </w:p>
    <w:p w14:paraId="6874E716" w14:textId="750FE2D1" w:rsidR="00604851" w:rsidRPr="00604851" w:rsidRDefault="00604851" w:rsidP="007C45A0">
      <w:pPr>
        <w:ind w:left="720"/>
      </w:pPr>
      <w:r w:rsidRPr="00604851">
        <w:t>(3) A person 18 years of age or over who is incapable of self-care because of a</w:t>
      </w:r>
      <w:r w:rsidR="007C45A0">
        <w:t xml:space="preserve"> </w:t>
      </w:r>
      <w:r w:rsidRPr="00604851">
        <w:t>mental or physical disability as set forth in the Family and Medical Leave Act of 1993 (P.L. 103-3).</w:t>
      </w:r>
    </w:p>
    <w:p w14:paraId="67D2383E" w14:textId="77777777" w:rsidR="00604851" w:rsidRPr="00604851" w:rsidRDefault="00604851" w:rsidP="007C45A0">
      <w:pPr>
        <w:ind w:left="900" w:hanging="180"/>
      </w:pPr>
      <w:r w:rsidRPr="00604851">
        <w:t>(4) A spouse or domestic partner of the individual.</w:t>
      </w:r>
    </w:p>
    <w:p w14:paraId="06C48907" w14:textId="77777777" w:rsidR="00604851" w:rsidRPr="00604851" w:rsidRDefault="00604851" w:rsidP="007C45A0">
      <w:pPr>
        <w:ind w:left="900" w:hanging="180"/>
      </w:pPr>
      <w:r w:rsidRPr="00604851">
        <w:t>(5) A person who is 60 years of age or older.</w:t>
      </w:r>
    </w:p>
    <w:p w14:paraId="5EF7ACFF" w14:textId="77777777" w:rsidR="00604851" w:rsidRPr="00604851" w:rsidRDefault="00604851" w:rsidP="00604851">
      <w:pPr>
        <w:rPr>
          <w:rFonts w:eastAsia="Times New Roman" w:cstheme="minorHAnsi"/>
          <w:color w:val="181614" w:themeColor="text1"/>
        </w:rPr>
      </w:pPr>
    </w:p>
    <w:p w14:paraId="7083931B" w14:textId="1C2E0AC2" w:rsidR="00B80CF4" w:rsidRPr="00B80CF4" w:rsidRDefault="00B80CF4" w:rsidP="007112C6">
      <w:pPr>
        <w:rPr>
          <w:rFonts w:cstheme="minorHAnsi"/>
          <w:color w:val="181614" w:themeColor="text1"/>
        </w:rPr>
      </w:pPr>
      <w:r>
        <w:rPr>
          <w:rFonts w:cstheme="minorHAnsi"/>
          <w:b/>
          <w:bCs/>
          <w:color w:val="181614" w:themeColor="text1"/>
        </w:rPr>
        <w:t xml:space="preserve">“Disability” </w:t>
      </w:r>
      <w:r w:rsidRPr="00B80CF4">
        <w:rPr>
          <w:rFonts w:cstheme="minorHAnsi"/>
          <w:color w:val="181614" w:themeColor="text1"/>
        </w:rPr>
        <w:t xml:space="preserve">has the same meaning as set forth in </w:t>
      </w:r>
      <w:r w:rsidRPr="00B80CF4">
        <w:rPr>
          <w:rFonts w:cstheme="minorHAnsi"/>
          <w:color w:val="FF0000"/>
        </w:rPr>
        <w:t xml:space="preserve">[insert applicable state law, or if you do not have a state-specific disability law, use “the Americans </w:t>
      </w:r>
      <w:proofErr w:type="gramStart"/>
      <w:r w:rsidRPr="00B80CF4">
        <w:rPr>
          <w:rFonts w:cstheme="minorHAnsi"/>
          <w:color w:val="FF0000"/>
        </w:rPr>
        <w:t>With</w:t>
      </w:r>
      <w:proofErr w:type="gramEnd"/>
      <w:r w:rsidRPr="00B80CF4">
        <w:rPr>
          <w:rFonts w:cstheme="minorHAnsi"/>
          <w:color w:val="FF0000"/>
        </w:rPr>
        <w:t xml:space="preserve"> Disabilities Act, 42 U.S.C. § 12101 et seq. (1990)”]</w:t>
      </w:r>
      <w:r w:rsidRPr="00B80CF4">
        <w:rPr>
          <w:rFonts w:cstheme="minorHAnsi"/>
          <w:color w:val="181614" w:themeColor="text1"/>
        </w:rPr>
        <w:t>.</w:t>
      </w:r>
    </w:p>
    <w:p w14:paraId="6BFB63E5" w14:textId="77777777" w:rsidR="00B80CF4" w:rsidRDefault="00B80CF4" w:rsidP="007112C6">
      <w:pPr>
        <w:rPr>
          <w:rFonts w:cstheme="minorHAnsi"/>
          <w:b/>
          <w:bCs/>
          <w:color w:val="181614" w:themeColor="text1"/>
        </w:rPr>
      </w:pPr>
    </w:p>
    <w:p w14:paraId="46C9E514" w14:textId="43283F56" w:rsidR="007112C6" w:rsidRDefault="007112C6" w:rsidP="007112C6">
      <w:r w:rsidRPr="00E36B3A">
        <w:rPr>
          <w:rFonts w:cstheme="minorHAnsi"/>
          <w:b/>
          <w:bCs/>
          <w:color w:val="181614" w:themeColor="text1"/>
        </w:rPr>
        <w:t xml:space="preserve">“Family </w:t>
      </w:r>
      <w:r w:rsidR="00711FA4">
        <w:rPr>
          <w:rFonts w:cstheme="minorHAnsi"/>
          <w:b/>
          <w:bCs/>
          <w:color w:val="181614" w:themeColor="text1"/>
        </w:rPr>
        <w:t>m</w:t>
      </w:r>
      <w:r w:rsidRPr="00E36B3A">
        <w:rPr>
          <w:rFonts w:cstheme="minorHAnsi"/>
          <w:b/>
          <w:bCs/>
          <w:color w:val="181614" w:themeColor="text1"/>
        </w:rPr>
        <w:t>ember</w:t>
      </w:r>
      <w:r w:rsidRPr="00E36B3A">
        <w:rPr>
          <w:rFonts w:cstheme="minorHAnsi"/>
          <w:color w:val="181614" w:themeColor="text1"/>
        </w:rPr>
        <w:t>”</w:t>
      </w:r>
      <w:r>
        <w:rPr>
          <w:rFonts w:cstheme="minorHAnsi"/>
          <w:color w:val="181614" w:themeColor="text1"/>
        </w:rPr>
        <w:t xml:space="preserve"> means</w:t>
      </w:r>
      <w:r w:rsidRPr="00E36B3A">
        <w:rPr>
          <w:rFonts w:cstheme="minorHAnsi"/>
          <w:color w:val="181614" w:themeColor="text1"/>
        </w:rPr>
        <w:t xml:space="preserve"> </w:t>
      </w:r>
      <w:r w:rsidRPr="00FF7A43">
        <w:t>a child, parent, grandparent, grandchild, sibling, spouse, domestic partner, or any other individual related by blood</w:t>
      </w:r>
      <w:r w:rsidR="00C20625">
        <w:t>, marriage,</w:t>
      </w:r>
      <w:r w:rsidRPr="00FF7A43">
        <w:t xml:space="preserve"> or whose close association with the employee is the equivalent of a family relationship.</w:t>
      </w:r>
    </w:p>
    <w:p w14:paraId="305BA4B1" w14:textId="77777777" w:rsidR="007112C6" w:rsidRDefault="007112C6" w:rsidP="00604851">
      <w:pPr>
        <w:rPr>
          <w:rFonts w:cstheme="minorHAnsi"/>
          <w:b/>
          <w:bCs/>
          <w:color w:val="181614" w:themeColor="text1"/>
        </w:rPr>
      </w:pPr>
    </w:p>
    <w:p w14:paraId="3DDB41FE" w14:textId="3E0DBEC0" w:rsidR="00604851" w:rsidRDefault="00604851" w:rsidP="00604851">
      <w:r w:rsidRPr="00604851">
        <w:rPr>
          <w:rFonts w:cstheme="minorHAnsi"/>
          <w:b/>
          <w:bCs/>
          <w:color w:val="181614" w:themeColor="text1"/>
        </w:rPr>
        <w:t>“Meaningful public transportation</w:t>
      </w:r>
      <w:r w:rsidRPr="00604851">
        <w:rPr>
          <w:rFonts w:cstheme="minorHAnsi"/>
          <w:color w:val="181614" w:themeColor="text1"/>
        </w:rPr>
        <w:t>” means a transportation option that would be no more prohibitive in time or cost to the individual than their previous mode of transportation.</w:t>
      </w:r>
      <w:r w:rsidRPr="00604851">
        <w:t xml:space="preserve"> </w:t>
      </w:r>
    </w:p>
    <w:p w14:paraId="65F60BF2" w14:textId="77777777" w:rsidR="00A04C40" w:rsidRDefault="00A04C40" w:rsidP="00604851"/>
    <w:p w14:paraId="30FB9A02" w14:textId="2B5A8ADD" w:rsidR="00A04C40" w:rsidRPr="0037509A" w:rsidRDefault="00A04C40" w:rsidP="00604851">
      <w:pPr>
        <w:rPr>
          <w:rFonts w:cstheme="minorHAnsi"/>
          <w:color w:val="181614" w:themeColor="text1"/>
        </w:rPr>
      </w:pPr>
      <w:r w:rsidRPr="00191B45">
        <w:rPr>
          <w:b/>
          <w:bCs/>
        </w:rPr>
        <w:t>“Serious Health Condition”</w:t>
      </w:r>
      <w:r>
        <w:t xml:space="preserve"> </w:t>
      </w:r>
      <w:r w:rsidR="00986DE2">
        <w:t>has the same meaning as</w:t>
      </w:r>
      <w:r w:rsidR="00191B45" w:rsidRPr="00191B45">
        <w:t xml:space="preserve"> set forth in the Family and Medical Leave Act of 1993 (P.L. 103-3)</w:t>
      </w:r>
      <w:r w:rsidR="00191B45">
        <w:t>.</w:t>
      </w:r>
    </w:p>
    <w:p w14:paraId="6CA2AC10" w14:textId="77777777" w:rsidR="00604851" w:rsidRPr="00604851" w:rsidRDefault="00604851" w:rsidP="00604851">
      <w:pPr>
        <w:rPr>
          <w:rFonts w:eastAsia="Times New Roman" w:cstheme="minorHAnsi"/>
          <w:b/>
          <w:bCs/>
          <w:color w:val="181614" w:themeColor="text1"/>
        </w:rPr>
      </w:pPr>
    </w:p>
    <w:p w14:paraId="1F7F7EF3" w14:textId="0B792368" w:rsidR="00604851" w:rsidRPr="00671404" w:rsidRDefault="00604851" w:rsidP="00604851">
      <w:pPr>
        <w:rPr>
          <w:color w:val="FF0000"/>
        </w:rPr>
      </w:pPr>
      <w:r w:rsidRPr="00604851">
        <w:rPr>
          <w:b/>
          <w:bCs/>
        </w:rPr>
        <w:t xml:space="preserve">Section 3. Separation </w:t>
      </w:r>
      <w:r w:rsidRPr="00A74254">
        <w:rPr>
          <w:b/>
          <w:bCs/>
        </w:rPr>
        <w:t>From Employment</w:t>
      </w:r>
      <w:r w:rsidRPr="00671404">
        <w:t xml:space="preserve"> </w:t>
      </w:r>
    </w:p>
    <w:p w14:paraId="3A2A6D6B" w14:textId="5A1CE745" w:rsidR="00604851" w:rsidRPr="00191B45" w:rsidRDefault="00604851" w:rsidP="00191B45">
      <w:pPr>
        <w:spacing w:after="160" w:line="259" w:lineRule="auto"/>
        <w:ind w:left="180" w:hanging="180"/>
        <w:contextualSpacing/>
        <w:rPr>
          <w:rFonts w:cstheme="minorHAnsi"/>
          <w:color w:val="FF0000"/>
        </w:rPr>
      </w:pPr>
      <w:r w:rsidRPr="00604851">
        <w:rPr>
          <w:rFonts w:cstheme="minorHAnsi"/>
          <w:color w:val="FF0000"/>
        </w:rPr>
        <w:t xml:space="preserve">Option 1: </w:t>
      </w:r>
      <w:r w:rsidR="00191B45" w:rsidRPr="00191B45">
        <w:rPr>
          <w:rFonts w:cstheme="minorHAnsi"/>
          <w:color w:val="FF0000"/>
        </w:rPr>
        <w:t>[use this language to establish a broad definition of allowable good cause quits]</w:t>
      </w:r>
    </w:p>
    <w:p w14:paraId="2FF65C57" w14:textId="0825A73C" w:rsidR="00704D7D" w:rsidRPr="00020979" w:rsidRDefault="00B31A4C" w:rsidP="00020979">
      <w:pPr>
        <w:pStyle w:val="ListParagraph"/>
        <w:numPr>
          <w:ilvl w:val="0"/>
          <w:numId w:val="26"/>
        </w:numPr>
        <w:spacing w:after="160" w:line="259" w:lineRule="auto"/>
        <w:contextualSpacing/>
        <w:rPr>
          <w:rStyle w:val="cf01"/>
          <w:rFonts w:ascii="Cambria" w:hAnsi="Cambria" w:cstheme="minorBidi"/>
          <w:b/>
          <w:bCs/>
          <w:i/>
          <w:iCs/>
          <w:color w:val="181614" w:themeColor="text1"/>
          <w:sz w:val="20"/>
          <w:szCs w:val="20"/>
          <w:shd w:val="clear" w:color="auto" w:fill="auto"/>
        </w:rPr>
      </w:pPr>
      <w:r w:rsidRPr="00054B09">
        <w:rPr>
          <w:rFonts w:asciiTheme="minorHAnsi" w:hAnsiTheme="minorHAnsi" w:cstheme="minorHAnsi"/>
          <w:color w:val="181614" w:themeColor="text1"/>
          <w:shd w:val="clear" w:color="auto" w:fill="FFFFFF"/>
        </w:rPr>
        <w:t xml:space="preserve">An individual shall not be disqualified for benefits if they had good cause to voluntarily leave their most recent work. </w:t>
      </w:r>
      <w:r w:rsidR="00AF5B7F" w:rsidRPr="00C24DD2">
        <w:rPr>
          <w:color w:val="181614" w:themeColor="text1"/>
        </w:rPr>
        <w:t>In addition to the circumstances described below,</w:t>
      </w:r>
      <w:r w:rsidR="00AF5B7F" w:rsidRPr="00054B09">
        <w:rPr>
          <w:b/>
          <w:bCs/>
          <w:i/>
          <w:iCs/>
          <w:color w:val="181614" w:themeColor="text1"/>
        </w:rPr>
        <w:t xml:space="preserve"> </w:t>
      </w:r>
      <w:r w:rsidR="00AF5B7F" w:rsidRPr="00054B09">
        <w:rPr>
          <w:rFonts w:cstheme="minorHAnsi"/>
          <w:color w:val="181614" w:themeColor="text1"/>
          <w:shd w:val="clear" w:color="auto" w:fill="FFFFFF"/>
        </w:rPr>
        <w:t>an individual shall be deemed to have left their most recent work with good cause in any circumstance where the individual's obligation is of a real, substantial, and compelling nature such as would cause a reasonable person genuinely desirous of retaining employment to take similar action.</w:t>
      </w:r>
    </w:p>
    <w:p w14:paraId="49AECC72" w14:textId="1441DAFB" w:rsidR="00604851" w:rsidRDefault="00604851" w:rsidP="00604851">
      <w:pPr>
        <w:spacing w:after="160" w:line="259" w:lineRule="auto"/>
        <w:contextualSpacing/>
      </w:pPr>
      <w:r w:rsidRPr="00604851">
        <w:rPr>
          <w:color w:val="FF0000"/>
        </w:rPr>
        <w:t>Option 2</w:t>
      </w:r>
      <w:r w:rsidR="00704D7D">
        <w:rPr>
          <w:color w:val="FF0000"/>
        </w:rPr>
        <w:t xml:space="preserve"> [</w:t>
      </w:r>
      <w:r w:rsidR="00F3686B">
        <w:rPr>
          <w:color w:val="FF0000"/>
        </w:rPr>
        <w:t xml:space="preserve">Use this </w:t>
      </w:r>
      <w:r w:rsidR="00704D7D">
        <w:rPr>
          <w:color w:val="FF0000"/>
        </w:rPr>
        <w:t xml:space="preserve">option if your state law </w:t>
      </w:r>
      <w:r w:rsidR="00F3686B">
        <w:rPr>
          <w:color w:val="FF0000"/>
        </w:rPr>
        <w:t xml:space="preserve">already </w:t>
      </w:r>
      <w:r w:rsidR="00704D7D">
        <w:rPr>
          <w:color w:val="FF0000"/>
        </w:rPr>
        <w:t>contains a strong general statement</w:t>
      </w:r>
      <w:r w:rsidR="009D0079">
        <w:rPr>
          <w:color w:val="FF0000"/>
        </w:rPr>
        <w:t xml:space="preserve"> on good cause quits</w:t>
      </w:r>
      <w:r w:rsidR="00704D7D">
        <w:rPr>
          <w:color w:val="FF0000"/>
        </w:rPr>
        <w:t xml:space="preserve"> but restricts the good cause quits to employer-related conduct. Just removing th</w:t>
      </w:r>
      <w:r w:rsidR="00F3686B">
        <w:rPr>
          <w:color w:val="FF0000"/>
        </w:rPr>
        <w:t>e</w:t>
      </w:r>
      <w:r w:rsidR="00704D7D">
        <w:rPr>
          <w:color w:val="FF0000"/>
        </w:rPr>
        <w:t xml:space="preserve"> </w:t>
      </w:r>
      <w:r w:rsidR="00F3686B">
        <w:rPr>
          <w:color w:val="FF0000"/>
        </w:rPr>
        <w:t xml:space="preserve">employer-related </w:t>
      </w:r>
      <w:r w:rsidR="00704D7D">
        <w:rPr>
          <w:color w:val="FF0000"/>
        </w:rPr>
        <w:t xml:space="preserve">restriction could vastly expand </w:t>
      </w:r>
      <w:r w:rsidR="009D0079">
        <w:rPr>
          <w:color w:val="FF0000"/>
        </w:rPr>
        <w:t>UI eligibility</w:t>
      </w:r>
      <w:r w:rsidR="00704D7D">
        <w:rPr>
          <w:color w:val="FF0000"/>
        </w:rPr>
        <w:t>]</w:t>
      </w:r>
      <w:r w:rsidRPr="00604851">
        <w:rPr>
          <w:color w:val="FF0000"/>
        </w:rPr>
        <w:t>:</w:t>
      </w:r>
      <w:r w:rsidRPr="00604851">
        <w:t xml:space="preserve"> </w:t>
      </w:r>
    </w:p>
    <w:p w14:paraId="1F2E2E6F" w14:textId="15915B26" w:rsidR="00604851" w:rsidRPr="00671404" w:rsidRDefault="00604851" w:rsidP="000E7841">
      <w:pPr>
        <w:pStyle w:val="ListParagraph"/>
        <w:numPr>
          <w:ilvl w:val="0"/>
          <w:numId w:val="31"/>
        </w:numPr>
        <w:spacing w:after="160" w:line="259" w:lineRule="auto"/>
        <w:contextualSpacing/>
        <w:rPr>
          <w:color w:val="181614" w:themeColor="text1"/>
        </w:rPr>
      </w:pPr>
      <w:r w:rsidRPr="000E7841">
        <w:rPr>
          <w:color w:val="FF0000"/>
        </w:rPr>
        <w:t>Eliminate provisions that premise eligibility on good cause attributable to the employer, for example</w:t>
      </w:r>
      <w:r w:rsidRPr="00054B09">
        <w:rPr>
          <w:color w:val="181614" w:themeColor="text1"/>
        </w:rPr>
        <w:t xml:space="preserve">: “Disqualification from benefits if an individual left work voluntarily without good cause </w:t>
      </w:r>
      <w:r w:rsidRPr="000E7841">
        <w:rPr>
          <w:i/>
          <w:iCs/>
          <w:strike/>
          <w:color w:val="181614" w:themeColor="text1"/>
        </w:rPr>
        <w:t>attributable to the employer or employing unit</w:t>
      </w:r>
      <w:r w:rsidRPr="00054B09">
        <w:rPr>
          <w:color w:val="181614" w:themeColor="text1"/>
        </w:rPr>
        <w:t xml:space="preserve">.” </w:t>
      </w:r>
    </w:p>
    <w:p w14:paraId="2599291C" w14:textId="645AAEBC" w:rsidR="004E5D86" w:rsidRDefault="00604851" w:rsidP="00604851">
      <w:pPr>
        <w:rPr>
          <w:b/>
          <w:bCs/>
        </w:rPr>
      </w:pPr>
      <w:r w:rsidRPr="00604851">
        <w:rPr>
          <w:b/>
          <w:bCs/>
        </w:rPr>
        <w:t xml:space="preserve">Section </w:t>
      </w:r>
      <w:r w:rsidR="00671404">
        <w:rPr>
          <w:b/>
          <w:bCs/>
        </w:rPr>
        <w:t>4</w:t>
      </w:r>
      <w:r w:rsidRPr="00604851">
        <w:rPr>
          <w:b/>
          <w:bCs/>
        </w:rPr>
        <w:t xml:space="preserve">. Good Cause Quits </w:t>
      </w:r>
      <w:r w:rsidR="000E7841">
        <w:rPr>
          <w:b/>
          <w:bCs/>
        </w:rPr>
        <w:t>Related to</w:t>
      </w:r>
      <w:r w:rsidR="00A74254">
        <w:rPr>
          <w:b/>
          <w:bCs/>
        </w:rPr>
        <w:t xml:space="preserve"> Compelling Personal Reasons</w:t>
      </w:r>
      <w:r w:rsidR="004E5D86">
        <w:rPr>
          <w:b/>
          <w:bCs/>
        </w:rPr>
        <w:t xml:space="preserve">  </w:t>
      </w:r>
    </w:p>
    <w:p w14:paraId="4AFA1CED" w14:textId="77777777" w:rsidR="004E5D86" w:rsidRDefault="004E5D86" w:rsidP="00604851">
      <w:pPr>
        <w:rPr>
          <w:b/>
          <w:bCs/>
        </w:rPr>
      </w:pPr>
    </w:p>
    <w:p w14:paraId="0647369B" w14:textId="2BE68825" w:rsidR="00604851" w:rsidRPr="00671404" w:rsidRDefault="00604851" w:rsidP="00C03293">
      <w:pPr>
        <w:pStyle w:val="ListParagraph"/>
        <w:numPr>
          <w:ilvl w:val="0"/>
          <w:numId w:val="33"/>
        </w:numPr>
        <w:spacing w:after="160" w:line="259" w:lineRule="auto"/>
        <w:contextualSpacing/>
        <w:rPr>
          <w:rFonts w:cstheme="minorBidi"/>
          <w:b/>
          <w:bCs/>
          <w:i/>
          <w:iCs/>
        </w:rPr>
      </w:pPr>
      <w:r w:rsidRPr="00277566">
        <w:rPr>
          <w:b/>
          <w:bCs/>
          <w:i/>
          <w:iCs/>
        </w:rPr>
        <w:t xml:space="preserve">Leaving a job to protect themselves or their family members from </w:t>
      </w:r>
      <w:r w:rsidR="009563DD">
        <w:rPr>
          <w:b/>
          <w:bCs/>
          <w:i/>
          <w:iCs/>
        </w:rPr>
        <w:t>domestic violence</w:t>
      </w:r>
      <w:r w:rsidRPr="00277566">
        <w:rPr>
          <w:b/>
          <w:bCs/>
          <w:i/>
          <w:iCs/>
        </w:rPr>
        <w:t>, sexual assault</w:t>
      </w:r>
      <w:r w:rsidR="00671404">
        <w:rPr>
          <w:b/>
          <w:bCs/>
          <w:i/>
          <w:iCs/>
        </w:rPr>
        <w:t>,</w:t>
      </w:r>
      <w:r w:rsidRPr="00277566">
        <w:rPr>
          <w:b/>
          <w:bCs/>
          <w:i/>
          <w:iCs/>
        </w:rPr>
        <w:t xml:space="preserve"> or stalking</w:t>
      </w:r>
      <w:r w:rsidR="00020979">
        <w:rPr>
          <w:b/>
          <w:bCs/>
          <w:i/>
          <w:iCs/>
        </w:rPr>
        <w:t>:</w:t>
      </w:r>
      <w:r w:rsidRPr="00277566">
        <w:rPr>
          <w:b/>
          <w:bCs/>
          <w:i/>
          <w:iCs/>
        </w:rPr>
        <w:t xml:space="preserve"> </w:t>
      </w:r>
      <w:r w:rsidRPr="00277566">
        <w:rPr>
          <w:rFonts w:cstheme="minorHAnsi"/>
        </w:rPr>
        <w:t>An individual shall be deemed to have left their most recent work with good cause if they left employment to protect themselves or a family member from domestic violence, sexual assault</w:t>
      </w:r>
      <w:r w:rsidR="00671404">
        <w:rPr>
          <w:rFonts w:cstheme="minorHAnsi"/>
        </w:rPr>
        <w:t>,</w:t>
      </w:r>
      <w:r w:rsidRPr="00277566">
        <w:rPr>
          <w:rFonts w:cstheme="minorHAnsi"/>
        </w:rPr>
        <w:t xml:space="preserve"> or stalking. </w:t>
      </w:r>
    </w:p>
    <w:p w14:paraId="6C93E73E" w14:textId="42CDF956" w:rsidR="00A74254" w:rsidRPr="00A74254" w:rsidRDefault="00671404" w:rsidP="00E46026">
      <w:pPr>
        <w:spacing w:after="160" w:line="259" w:lineRule="auto"/>
        <w:ind w:left="720"/>
        <w:contextualSpacing/>
        <w:rPr>
          <w:rFonts w:cstheme="minorBidi"/>
        </w:rPr>
      </w:pPr>
      <w:r w:rsidRPr="00671404">
        <w:rPr>
          <w:rFonts w:cstheme="minorBidi"/>
        </w:rPr>
        <w:t>An individual shall be found to have left their most recent employment to protect themselves or a family member from domestic violence, sexual assault</w:t>
      </w:r>
      <w:r w:rsidR="004E5D86">
        <w:rPr>
          <w:rFonts w:cstheme="minorBidi"/>
        </w:rPr>
        <w:t>,</w:t>
      </w:r>
      <w:r w:rsidRPr="00671404">
        <w:rPr>
          <w:rFonts w:cstheme="minorBidi"/>
        </w:rPr>
        <w:t xml:space="preserve"> or stalking</w:t>
      </w:r>
      <w:r w:rsidR="004E5D86">
        <w:rPr>
          <w:rFonts w:cstheme="minorBidi"/>
        </w:rPr>
        <w:t xml:space="preserve"> if they provide reasonable and confidential documentation demonstrating that </w:t>
      </w:r>
      <w:r w:rsidR="000E7841" w:rsidRPr="004E5D86">
        <w:rPr>
          <w:rFonts w:cstheme="minorBidi"/>
        </w:rPr>
        <w:t xml:space="preserve">the </w:t>
      </w:r>
      <w:r w:rsidR="000E7841" w:rsidRPr="004E5D86">
        <w:rPr>
          <w:rFonts w:cstheme="minorBidi"/>
        </w:rPr>
        <w:lastRenderedPageBreak/>
        <w:t xml:space="preserve">individual reasonably </w:t>
      </w:r>
      <w:r w:rsidR="00A04C40" w:rsidRPr="004E5D86">
        <w:rPr>
          <w:rFonts w:cstheme="minorBidi"/>
        </w:rPr>
        <w:t>believed</w:t>
      </w:r>
      <w:r w:rsidR="000E7841" w:rsidRPr="004E5D86">
        <w:rPr>
          <w:rFonts w:cstheme="minorBidi"/>
        </w:rPr>
        <w:t xml:space="preserve"> </w:t>
      </w:r>
      <w:r w:rsidR="00A04C40" w:rsidRPr="004E5D86">
        <w:rPr>
          <w:rFonts w:cstheme="minorBidi"/>
        </w:rPr>
        <w:t>that</w:t>
      </w:r>
      <w:r w:rsidR="000E7841" w:rsidRPr="004E5D86">
        <w:rPr>
          <w:rFonts w:cstheme="minorBidi"/>
        </w:rPr>
        <w:t xml:space="preserve"> </w:t>
      </w:r>
      <w:r w:rsidR="00A04C40" w:rsidRPr="004E5D86">
        <w:rPr>
          <w:rFonts w:cstheme="minorBidi"/>
        </w:rPr>
        <w:t>their</w:t>
      </w:r>
      <w:r w:rsidR="000E7841" w:rsidRPr="004E5D86">
        <w:rPr>
          <w:rFonts w:cstheme="minorBidi"/>
        </w:rPr>
        <w:t xml:space="preserve"> continued employment would jeopardize their or their family members</w:t>
      </w:r>
      <w:r w:rsidR="00A04C40" w:rsidRPr="004E5D86">
        <w:rPr>
          <w:rFonts w:cstheme="minorBidi"/>
        </w:rPr>
        <w:t>’</w:t>
      </w:r>
      <w:r w:rsidR="000E7841" w:rsidRPr="004E5D86">
        <w:rPr>
          <w:rFonts w:cstheme="minorBidi"/>
        </w:rPr>
        <w:t xml:space="preserve"> </w:t>
      </w:r>
      <w:r w:rsidR="00A04C40" w:rsidRPr="004E5D86">
        <w:rPr>
          <w:rFonts w:cstheme="minorBidi"/>
        </w:rPr>
        <w:t>safety</w:t>
      </w:r>
      <w:r w:rsidR="004E5D86">
        <w:rPr>
          <w:rFonts w:cstheme="minorBidi"/>
        </w:rPr>
        <w:t xml:space="preserve">. This can include a written statement </w:t>
      </w:r>
      <w:r w:rsidR="00E46026">
        <w:rPr>
          <w:rFonts w:cstheme="minorBidi"/>
        </w:rPr>
        <w:t xml:space="preserve">from the individual </w:t>
      </w:r>
      <w:r w:rsidR="004E5D86">
        <w:rPr>
          <w:rFonts w:cstheme="minorBidi"/>
        </w:rPr>
        <w:t>attesting to this fact</w:t>
      </w:r>
      <w:r w:rsidR="00E46026">
        <w:rPr>
          <w:rFonts w:cstheme="minorBidi"/>
        </w:rPr>
        <w:t xml:space="preserve">.  </w:t>
      </w:r>
    </w:p>
    <w:p w14:paraId="1550BB59" w14:textId="77777777" w:rsidR="00C03293" w:rsidRPr="00020979" w:rsidRDefault="00C03293" w:rsidP="00C03293">
      <w:pPr>
        <w:pStyle w:val="ListParagraph"/>
        <w:numPr>
          <w:ilvl w:val="0"/>
          <w:numId w:val="0"/>
        </w:numPr>
        <w:spacing w:after="160" w:line="259" w:lineRule="auto"/>
        <w:ind w:left="720"/>
        <w:contextualSpacing/>
        <w:rPr>
          <w:rFonts w:cstheme="minorBidi"/>
          <w:b/>
          <w:bCs/>
          <w:i/>
          <w:iCs/>
        </w:rPr>
      </w:pPr>
    </w:p>
    <w:p w14:paraId="10150D79" w14:textId="2801BB73" w:rsidR="00604851" w:rsidRPr="00C03293" w:rsidRDefault="00604851" w:rsidP="00C03293">
      <w:pPr>
        <w:pStyle w:val="ListParagraph"/>
        <w:numPr>
          <w:ilvl w:val="0"/>
          <w:numId w:val="26"/>
        </w:numPr>
        <w:spacing w:after="160" w:line="259" w:lineRule="auto"/>
        <w:contextualSpacing/>
        <w:rPr>
          <w:b/>
          <w:bCs/>
          <w:i/>
          <w:iCs/>
        </w:rPr>
      </w:pPr>
      <w:r w:rsidRPr="00604851">
        <w:rPr>
          <w:b/>
          <w:bCs/>
          <w:i/>
          <w:iCs/>
        </w:rPr>
        <w:t>Leaving a job to care for oneself or a</w:t>
      </w:r>
      <w:r w:rsidR="00C03293">
        <w:rPr>
          <w:b/>
          <w:bCs/>
          <w:i/>
          <w:iCs/>
        </w:rPr>
        <w:t xml:space="preserve"> </w:t>
      </w:r>
      <w:r w:rsidRPr="00604851">
        <w:rPr>
          <w:b/>
          <w:bCs/>
          <w:i/>
          <w:iCs/>
        </w:rPr>
        <w:t>family member</w:t>
      </w:r>
      <w:r w:rsidR="005C26C3">
        <w:rPr>
          <w:b/>
          <w:bCs/>
          <w:i/>
          <w:iCs/>
        </w:rPr>
        <w:t xml:space="preserve"> with a serious health condition</w:t>
      </w:r>
      <w:r w:rsidR="00C03293">
        <w:rPr>
          <w:b/>
          <w:bCs/>
          <w:i/>
          <w:iCs/>
        </w:rPr>
        <w:t xml:space="preserve">: </w:t>
      </w:r>
      <w:r w:rsidRPr="00C03293">
        <w:rPr>
          <w:rFonts w:cstheme="minorHAnsi"/>
        </w:rPr>
        <w:t xml:space="preserve">An individual shall be deemed to have left their most recent work with good cause if they left to care for their own or a family member's </w:t>
      </w:r>
      <w:r w:rsidR="00C03293">
        <w:rPr>
          <w:rFonts w:cstheme="minorHAnsi"/>
        </w:rPr>
        <w:t xml:space="preserve">serious health condition or </w:t>
      </w:r>
      <w:r w:rsidRPr="00C03293">
        <w:rPr>
          <w:rFonts w:cstheme="minorHAnsi"/>
        </w:rPr>
        <w:t>disability</w:t>
      </w:r>
      <w:r w:rsidR="009D0079" w:rsidRPr="00C03293">
        <w:rPr>
          <w:rFonts w:cstheme="minorHAnsi"/>
        </w:rPr>
        <w:t>, including any pregnancy-related condition</w:t>
      </w:r>
      <w:r w:rsidRPr="00C03293">
        <w:rPr>
          <w:rFonts w:cstheme="minorHAnsi"/>
        </w:rPr>
        <w:t>.</w:t>
      </w:r>
      <w:r w:rsidR="00C03293">
        <w:rPr>
          <w:rFonts w:cstheme="minorHAnsi"/>
        </w:rPr>
        <w:t xml:space="preserve"> </w:t>
      </w:r>
      <w:r w:rsidRPr="00C03293">
        <w:rPr>
          <w:rFonts w:cstheme="minorHAnsi"/>
        </w:rPr>
        <w:t xml:space="preserve">This includes individuals who leave their job after an approved leave due to ongoing </w:t>
      </w:r>
      <w:r w:rsidR="00A04C40">
        <w:rPr>
          <w:rFonts w:cstheme="minorHAnsi"/>
        </w:rPr>
        <w:t>need to care for their own or a family member’s serious health condition or disability</w:t>
      </w:r>
      <w:r w:rsidR="00C24DD2">
        <w:rPr>
          <w:rFonts w:cstheme="minorHAnsi"/>
        </w:rPr>
        <w:t xml:space="preserve"> and the employer will not grant them additional leave</w:t>
      </w:r>
      <w:r w:rsidR="00A04C40">
        <w:rPr>
          <w:rFonts w:cstheme="minorHAnsi"/>
        </w:rPr>
        <w:t xml:space="preserve">.  </w:t>
      </w:r>
    </w:p>
    <w:p w14:paraId="167B9E5F" w14:textId="77777777" w:rsidR="00604851" w:rsidRPr="00604851" w:rsidRDefault="00604851" w:rsidP="00604851">
      <w:pPr>
        <w:pStyle w:val="ListParagraph"/>
        <w:numPr>
          <w:ilvl w:val="0"/>
          <w:numId w:val="0"/>
        </w:numPr>
        <w:ind w:left="720"/>
        <w:rPr>
          <w:b/>
          <w:bCs/>
          <w:i/>
          <w:iCs/>
        </w:rPr>
      </w:pPr>
    </w:p>
    <w:p w14:paraId="1F776859" w14:textId="4C0994B7" w:rsidR="00604851" w:rsidRPr="00604851" w:rsidRDefault="00604851" w:rsidP="00604851">
      <w:pPr>
        <w:pStyle w:val="ListParagraph"/>
        <w:numPr>
          <w:ilvl w:val="0"/>
          <w:numId w:val="26"/>
        </w:numPr>
        <w:spacing w:after="160" w:line="259" w:lineRule="auto"/>
        <w:contextualSpacing/>
        <w:rPr>
          <w:b/>
          <w:bCs/>
          <w:i/>
          <w:iCs/>
        </w:rPr>
      </w:pPr>
      <w:r w:rsidRPr="00604851">
        <w:rPr>
          <w:b/>
          <w:bCs/>
          <w:i/>
          <w:iCs/>
        </w:rPr>
        <w:t>Leaving a job to care for a child or dependent</w:t>
      </w:r>
      <w:r w:rsidR="00020979">
        <w:rPr>
          <w:b/>
          <w:bCs/>
          <w:i/>
          <w:iCs/>
        </w:rPr>
        <w:t>:</w:t>
      </w:r>
      <w:r w:rsidRPr="00604851">
        <w:t xml:space="preserve"> An individual shall be deemed to have left their most recent work with good cause if they left </w:t>
      </w:r>
      <w:r w:rsidR="00605EA6">
        <w:t xml:space="preserve">to </w:t>
      </w:r>
      <w:r w:rsidR="005C26C3">
        <w:t xml:space="preserve">take </w:t>
      </w:r>
      <w:r w:rsidRPr="00604851">
        <w:t xml:space="preserve">care </w:t>
      </w:r>
      <w:r w:rsidR="005C26C3">
        <w:t>of</w:t>
      </w:r>
      <w:r w:rsidRPr="00604851">
        <w:t xml:space="preserve"> a child or</w:t>
      </w:r>
      <w:r w:rsidR="00C03293">
        <w:t xml:space="preserve"> other dependent</w:t>
      </w:r>
      <w:r w:rsidR="00191B45">
        <w:t xml:space="preserve"> when no reasonable alternative care is available</w:t>
      </w:r>
      <w:r w:rsidRPr="00604851">
        <w:t>.</w:t>
      </w:r>
    </w:p>
    <w:p w14:paraId="42EADCE6" w14:textId="77777777" w:rsidR="00604851" w:rsidRPr="00604851" w:rsidRDefault="00604851" w:rsidP="00604851">
      <w:pPr>
        <w:pStyle w:val="ListParagraph"/>
        <w:numPr>
          <w:ilvl w:val="0"/>
          <w:numId w:val="0"/>
        </w:numPr>
        <w:ind w:left="720"/>
        <w:rPr>
          <w:b/>
          <w:bCs/>
          <w:i/>
          <w:iCs/>
        </w:rPr>
      </w:pPr>
    </w:p>
    <w:p w14:paraId="472930BB" w14:textId="72807CC9" w:rsidR="00604851" w:rsidRPr="00604851" w:rsidRDefault="00604851" w:rsidP="00604851">
      <w:pPr>
        <w:pStyle w:val="ListParagraph"/>
        <w:numPr>
          <w:ilvl w:val="0"/>
          <w:numId w:val="26"/>
        </w:numPr>
        <w:spacing w:after="160" w:line="259" w:lineRule="auto"/>
        <w:contextualSpacing/>
        <w:rPr>
          <w:b/>
          <w:bCs/>
          <w:i/>
          <w:iCs/>
        </w:rPr>
      </w:pPr>
      <w:r w:rsidRPr="00604851">
        <w:rPr>
          <w:b/>
          <w:bCs/>
          <w:i/>
          <w:iCs/>
        </w:rPr>
        <w:t>Leaving a job to relocate with a spouse, partner, or co-parent who relocates for their job</w:t>
      </w:r>
      <w:r w:rsidR="00020979">
        <w:rPr>
          <w:b/>
          <w:bCs/>
          <w:i/>
          <w:iCs/>
        </w:rPr>
        <w:t>:</w:t>
      </w:r>
      <w:r w:rsidRPr="00604851">
        <w:rPr>
          <w:b/>
          <w:bCs/>
          <w:i/>
          <w:iCs/>
        </w:rPr>
        <w:t xml:space="preserve"> </w:t>
      </w:r>
      <w:r w:rsidRPr="00604851">
        <w:rPr>
          <w:rFonts w:cstheme="minorHAnsi"/>
        </w:rPr>
        <w:t>An individual shall be deemed to have left their most recent work with good cause if they left their job to relocate with a spouse, partner</w:t>
      </w:r>
      <w:r w:rsidR="004E5D86">
        <w:rPr>
          <w:rFonts w:cstheme="minorHAnsi"/>
        </w:rPr>
        <w:t>,</w:t>
      </w:r>
      <w:r w:rsidRPr="00604851">
        <w:rPr>
          <w:rFonts w:cstheme="minorHAnsi"/>
        </w:rPr>
        <w:t xml:space="preserve"> or co-parent who relocates for their job, and it therefore becomes impractical for the individual to commute to their place of employment. </w:t>
      </w:r>
    </w:p>
    <w:p w14:paraId="123F5339" w14:textId="77777777" w:rsidR="00604851" w:rsidRPr="00604851" w:rsidRDefault="00604851" w:rsidP="00604851">
      <w:pPr>
        <w:pStyle w:val="ListParagraph"/>
        <w:numPr>
          <w:ilvl w:val="0"/>
          <w:numId w:val="0"/>
        </w:numPr>
        <w:ind w:left="720"/>
        <w:rPr>
          <w:b/>
          <w:bCs/>
          <w:i/>
          <w:iCs/>
        </w:rPr>
      </w:pPr>
    </w:p>
    <w:p w14:paraId="22686AA8" w14:textId="11ECD6E2" w:rsidR="00604851" w:rsidRPr="00604851" w:rsidRDefault="00604851" w:rsidP="00604851">
      <w:pPr>
        <w:pStyle w:val="ListParagraph"/>
        <w:numPr>
          <w:ilvl w:val="0"/>
          <w:numId w:val="26"/>
        </w:numPr>
        <w:spacing w:after="160" w:line="259" w:lineRule="auto"/>
        <w:contextualSpacing/>
        <w:rPr>
          <w:b/>
          <w:bCs/>
          <w:i/>
          <w:iCs/>
        </w:rPr>
      </w:pPr>
      <w:r w:rsidRPr="00604851">
        <w:rPr>
          <w:b/>
          <w:bCs/>
          <w:i/>
          <w:iCs/>
        </w:rPr>
        <w:t>Leaving a job because of an offer of employment at another job</w:t>
      </w:r>
      <w:r w:rsidR="00020979">
        <w:rPr>
          <w:b/>
          <w:bCs/>
          <w:i/>
          <w:iCs/>
        </w:rPr>
        <w:t>:</w:t>
      </w:r>
      <w:r w:rsidRPr="00604851">
        <w:rPr>
          <w:b/>
          <w:bCs/>
          <w:i/>
          <w:iCs/>
        </w:rPr>
        <w:t xml:space="preserve"> </w:t>
      </w:r>
      <w:r w:rsidRPr="00604851">
        <w:rPr>
          <w:rFonts w:cstheme="minorHAnsi"/>
        </w:rPr>
        <w:t xml:space="preserve">An individual shall be deemed to have left their most recent work with good cause if the individual terminates employment in good faith to accept better employment which is to begin within a reasonable period. </w:t>
      </w:r>
    </w:p>
    <w:p w14:paraId="1AD0644F" w14:textId="77777777" w:rsidR="00604851" w:rsidRPr="00604851" w:rsidRDefault="00604851" w:rsidP="00604851">
      <w:pPr>
        <w:pStyle w:val="ListParagraph"/>
        <w:numPr>
          <w:ilvl w:val="0"/>
          <w:numId w:val="0"/>
        </w:numPr>
        <w:ind w:left="720"/>
        <w:rPr>
          <w:b/>
          <w:bCs/>
          <w:i/>
          <w:iCs/>
        </w:rPr>
      </w:pPr>
    </w:p>
    <w:p w14:paraId="7890E51C" w14:textId="74BE51DF" w:rsidR="00604851" w:rsidRPr="000D47FB" w:rsidRDefault="00604851" w:rsidP="000D47FB">
      <w:pPr>
        <w:pStyle w:val="ListParagraph"/>
        <w:numPr>
          <w:ilvl w:val="0"/>
          <w:numId w:val="26"/>
        </w:numPr>
        <w:spacing w:after="160" w:line="259" w:lineRule="auto"/>
        <w:contextualSpacing/>
        <w:rPr>
          <w:b/>
          <w:bCs/>
          <w:i/>
          <w:iCs/>
        </w:rPr>
      </w:pPr>
      <w:r w:rsidRPr="00604851">
        <w:rPr>
          <w:b/>
          <w:bCs/>
          <w:i/>
          <w:iCs/>
        </w:rPr>
        <w:t>Leaving a job because of a loss of transportation</w:t>
      </w:r>
      <w:r w:rsidR="0019007D">
        <w:rPr>
          <w:b/>
          <w:bCs/>
          <w:i/>
          <w:iCs/>
        </w:rPr>
        <w:t xml:space="preserve"> which</w:t>
      </w:r>
      <w:r w:rsidRPr="00604851">
        <w:rPr>
          <w:b/>
          <w:bCs/>
          <w:i/>
          <w:iCs/>
        </w:rPr>
        <w:t xml:space="preserve"> prevents the worker from getting to this job and meaningful public transportation is not </w:t>
      </w:r>
      <w:r w:rsidR="00020979" w:rsidRPr="00604851">
        <w:rPr>
          <w:b/>
          <w:bCs/>
          <w:i/>
          <w:iCs/>
        </w:rPr>
        <w:t>available</w:t>
      </w:r>
      <w:r w:rsidR="00020979">
        <w:rPr>
          <w:b/>
          <w:bCs/>
          <w:i/>
          <w:iCs/>
        </w:rPr>
        <w:t>:</w:t>
      </w:r>
      <w:r w:rsidR="000D47FB">
        <w:rPr>
          <w:b/>
          <w:bCs/>
          <w:i/>
          <w:iCs/>
        </w:rPr>
        <w:t xml:space="preserve"> </w:t>
      </w:r>
      <w:r w:rsidRPr="00604851">
        <w:t xml:space="preserve">An individual shall be deemed to have left their most recent work with good cause if they lose their means of transportation to commute to work and meaningful public transportation is unavailable. </w:t>
      </w:r>
    </w:p>
    <w:p w14:paraId="45A99736" w14:textId="5183AF46" w:rsidR="00D20A07" w:rsidRPr="0060159E" w:rsidRDefault="00604851" w:rsidP="0060159E">
      <w:pPr>
        <w:spacing w:after="160" w:line="259" w:lineRule="auto"/>
        <w:ind w:left="180" w:hanging="180"/>
        <w:contextualSpacing/>
        <w:rPr>
          <w:b/>
          <w:bCs/>
        </w:rPr>
      </w:pPr>
      <w:r w:rsidRPr="0060159E">
        <w:rPr>
          <w:b/>
          <w:bCs/>
        </w:rPr>
        <w:t xml:space="preserve">Section </w:t>
      </w:r>
      <w:r w:rsidR="00671404">
        <w:rPr>
          <w:b/>
          <w:bCs/>
        </w:rPr>
        <w:t>5</w:t>
      </w:r>
      <w:r w:rsidRPr="0060159E">
        <w:rPr>
          <w:b/>
          <w:bCs/>
        </w:rPr>
        <w:t xml:space="preserve">. Good Cause Quits Related to the Employer </w:t>
      </w:r>
    </w:p>
    <w:p w14:paraId="3611ABCC" w14:textId="5876F8EB" w:rsidR="001A0EB9" w:rsidRPr="00D20A07" w:rsidRDefault="00604851" w:rsidP="00D20A07">
      <w:pPr>
        <w:pStyle w:val="ListParagraph"/>
        <w:numPr>
          <w:ilvl w:val="0"/>
          <w:numId w:val="32"/>
        </w:numPr>
        <w:spacing w:after="160" w:line="259" w:lineRule="auto"/>
        <w:contextualSpacing/>
        <w:rPr>
          <w:b/>
          <w:bCs/>
          <w:i/>
          <w:iCs/>
        </w:rPr>
      </w:pPr>
      <w:r w:rsidRPr="00D20A07">
        <w:rPr>
          <w:b/>
          <w:bCs/>
          <w:i/>
          <w:iCs/>
        </w:rPr>
        <w:t>Leaving a job because of a significant deterioration in job quality</w:t>
      </w:r>
      <w:r w:rsidR="00020979">
        <w:rPr>
          <w:b/>
          <w:bCs/>
          <w:i/>
          <w:iCs/>
        </w:rPr>
        <w:t>:</w:t>
      </w:r>
      <w:r w:rsidRPr="00D20A07">
        <w:rPr>
          <w:b/>
          <w:bCs/>
          <w:i/>
          <w:iCs/>
        </w:rPr>
        <w:t xml:space="preserve"> </w:t>
      </w:r>
      <w:r w:rsidRPr="00D20A07">
        <w:rPr>
          <w:rFonts w:cstheme="minorHAnsi"/>
        </w:rPr>
        <w:t xml:space="preserve">An individual shall be deemed to have left their most recent work with good cause if they experienced a significant deterioration in job quality. </w:t>
      </w:r>
    </w:p>
    <w:p w14:paraId="7D81DA45" w14:textId="1C3B8F27" w:rsidR="001A0EB9" w:rsidRPr="00020979" w:rsidRDefault="077FBC68" w:rsidP="077FBC68">
      <w:pPr>
        <w:spacing w:line="240" w:lineRule="auto"/>
        <w:ind w:left="720"/>
        <w:rPr>
          <w:rFonts w:cstheme="minorBidi"/>
          <w:color w:val="181614" w:themeColor="text1"/>
        </w:rPr>
      </w:pPr>
      <w:r w:rsidRPr="077FBC68">
        <w:rPr>
          <w:rFonts w:cstheme="minorBidi"/>
          <w:color w:val="181614" w:themeColor="text1"/>
        </w:rPr>
        <w:t>Deterioration of job quality</w:t>
      </w:r>
      <w:r w:rsidRPr="077FBC68">
        <w:rPr>
          <w:rFonts w:cstheme="minorBidi"/>
          <w:b/>
          <w:bCs/>
          <w:color w:val="181614" w:themeColor="text1"/>
        </w:rPr>
        <w:t xml:space="preserve"> </w:t>
      </w:r>
      <w:r w:rsidRPr="077FBC68">
        <w:rPr>
          <w:rFonts w:cstheme="minorBidi"/>
          <w:color w:val="181614" w:themeColor="text1"/>
        </w:rPr>
        <w:t xml:space="preserve">includes but is not limited to volatile and insufficient work hours; erratic scheduling practices; a change in schedule; a change in work location that results in a significant change in commute time; a reduction in pay; </w:t>
      </w:r>
      <w:r w:rsidR="007112C6">
        <w:rPr>
          <w:rFonts w:cstheme="minorBidi"/>
          <w:color w:val="181614" w:themeColor="text1"/>
        </w:rPr>
        <w:t xml:space="preserve">dangerous, unsafe, or unhealthy </w:t>
      </w:r>
      <w:r w:rsidRPr="077FBC68">
        <w:rPr>
          <w:rFonts w:cstheme="minorBidi"/>
          <w:color w:val="181614" w:themeColor="text1"/>
        </w:rPr>
        <w:t>work conditions</w:t>
      </w:r>
      <w:r w:rsidR="007112C6">
        <w:rPr>
          <w:rFonts w:cstheme="minorBidi"/>
          <w:color w:val="181614" w:themeColor="text1"/>
        </w:rPr>
        <w:t>, including those related to climate-driven disasters</w:t>
      </w:r>
      <w:r w:rsidRPr="077FBC68">
        <w:rPr>
          <w:rFonts w:cstheme="minorBidi"/>
          <w:color w:val="181614" w:themeColor="text1"/>
        </w:rPr>
        <w:t>; an employer’s violation of a working agreement; or a deprivation of equal employment opportunities based on bona fide occupational qualifications.</w:t>
      </w:r>
    </w:p>
    <w:p w14:paraId="420C255F" w14:textId="77777777" w:rsidR="00604851" w:rsidRPr="00604851" w:rsidRDefault="00604851" w:rsidP="00604851">
      <w:pPr>
        <w:pStyle w:val="ListParagraph"/>
        <w:numPr>
          <w:ilvl w:val="0"/>
          <w:numId w:val="0"/>
        </w:numPr>
        <w:spacing w:after="160" w:line="259" w:lineRule="auto"/>
        <w:ind w:left="720"/>
        <w:contextualSpacing/>
        <w:rPr>
          <w:rFonts w:cstheme="minorBidi"/>
          <w:b/>
          <w:bCs/>
          <w:i/>
          <w:iCs/>
        </w:rPr>
      </w:pPr>
    </w:p>
    <w:p w14:paraId="5A533374" w14:textId="72E4D384" w:rsidR="00604851" w:rsidRPr="0060159E" w:rsidRDefault="00604851" w:rsidP="0060159E">
      <w:pPr>
        <w:pStyle w:val="ListParagraph"/>
        <w:numPr>
          <w:ilvl w:val="0"/>
          <w:numId w:val="32"/>
        </w:numPr>
        <w:spacing w:after="160" w:line="259" w:lineRule="auto"/>
        <w:contextualSpacing/>
        <w:rPr>
          <w:rFonts w:cstheme="minorBidi"/>
          <w:b/>
          <w:bCs/>
          <w:i/>
          <w:iCs/>
        </w:rPr>
      </w:pPr>
      <w:r w:rsidRPr="0060159E">
        <w:rPr>
          <w:b/>
          <w:bCs/>
          <w:i/>
          <w:iCs/>
        </w:rPr>
        <w:t>Leaving a job where legal rights were violated</w:t>
      </w:r>
      <w:r w:rsidR="00020979">
        <w:rPr>
          <w:b/>
          <w:bCs/>
          <w:i/>
          <w:iCs/>
        </w:rPr>
        <w:t>:</w:t>
      </w:r>
      <w:r w:rsidRPr="0060159E">
        <w:rPr>
          <w:b/>
          <w:bCs/>
          <w:i/>
          <w:iCs/>
        </w:rPr>
        <w:t xml:space="preserve"> </w:t>
      </w:r>
      <w:r w:rsidRPr="0060159E">
        <w:rPr>
          <w:rFonts w:cstheme="minorHAnsi"/>
        </w:rPr>
        <w:t>An individual shall be deemed to have left their most recent work with good cause if their legal rights were violated.</w:t>
      </w:r>
    </w:p>
    <w:p w14:paraId="65910A91" w14:textId="77777777" w:rsidR="00604851" w:rsidRPr="00604851" w:rsidRDefault="00604851" w:rsidP="00604851">
      <w:pPr>
        <w:pStyle w:val="ListParagraph"/>
        <w:numPr>
          <w:ilvl w:val="0"/>
          <w:numId w:val="0"/>
        </w:numPr>
        <w:ind w:left="180"/>
        <w:rPr>
          <w:rFonts w:cstheme="minorBidi"/>
          <w:b/>
          <w:bCs/>
          <w:i/>
          <w:iCs/>
        </w:rPr>
      </w:pPr>
    </w:p>
    <w:p w14:paraId="5B1CCBCF" w14:textId="308F2505" w:rsidR="00604851" w:rsidRPr="000D47FB" w:rsidRDefault="00604851" w:rsidP="000D47FB">
      <w:pPr>
        <w:pStyle w:val="ListParagraph"/>
        <w:numPr>
          <w:ilvl w:val="0"/>
          <w:numId w:val="32"/>
        </w:numPr>
        <w:spacing w:after="160" w:line="259" w:lineRule="auto"/>
        <w:contextualSpacing/>
        <w:rPr>
          <w:rFonts w:cstheme="minorBidi"/>
          <w:b/>
          <w:bCs/>
          <w:i/>
          <w:iCs/>
        </w:rPr>
      </w:pPr>
      <w:r w:rsidRPr="00604851">
        <w:rPr>
          <w:b/>
          <w:bCs/>
          <w:i/>
          <w:iCs/>
        </w:rPr>
        <w:t>Leaving a job to escape sexual or other harassment at work</w:t>
      </w:r>
      <w:r w:rsidR="00020979">
        <w:rPr>
          <w:b/>
          <w:bCs/>
          <w:i/>
          <w:iCs/>
        </w:rPr>
        <w:t>:</w:t>
      </w:r>
      <w:r w:rsidRPr="00604851">
        <w:rPr>
          <w:rFonts w:cstheme="minorHAnsi"/>
        </w:rPr>
        <w:t xml:space="preserve"> </w:t>
      </w:r>
      <w:r>
        <w:t xml:space="preserve"> </w:t>
      </w:r>
      <w:r w:rsidRPr="00604851">
        <w:t xml:space="preserve">An individual shall be deemed to have left </w:t>
      </w:r>
      <w:r w:rsidR="005D0425">
        <w:t>their</w:t>
      </w:r>
      <w:r w:rsidR="00277566">
        <w:t xml:space="preserve"> </w:t>
      </w:r>
      <w:r w:rsidRPr="00604851">
        <w:t>most recent work with good cause</w:t>
      </w:r>
      <w:r w:rsidR="003B4A14">
        <w:t xml:space="preserve"> if they left</w:t>
      </w:r>
      <w:r w:rsidRPr="00604851">
        <w:t xml:space="preserve"> because of sexual harassment or other harassment at work when any of the following occur:</w:t>
      </w:r>
    </w:p>
    <w:p w14:paraId="7AC3B770" w14:textId="77777777" w:rsidR="00604851" w:rsidRPr="00B442EA" w:rsidRDefault="00604851" w:rsidP="000D47FB">
      <w:pPr>
        <w:ind w:left="1440"/>
      </w:pPr>
      <w:r w:rsidRPr="00B442EA">
        <w:lastRenderedPageBreak/>
        <w:t>(1) Submission to the conduct is made either explicitly or implicitly a term or condition of an individual's employment.</w:t>
      </w:r>
    </w:p>
    <w:p w14:paraId="41612B77" w14:textId="77777777" w:rsidR="00604851" w:rsidRPr="00B442EA" w:rsidRDefault="00604851" w:rsidP="000D47FB">
      <w:pPr>
        <w:ind w:left="1440"/>
      </w:pPr>
      <w:r w:rsidRPr="00B442EA">
        <w:t>(2) Submission to or rejection of the conduct by an individual is used as the basis for employment decisions affecting the individual.</w:t>
      </w:r>
    </w:p>
    <w:p w14:paraId="47CD3DBC" w14:textId="77777777" w:rsidR="00604851" w:rsidRDefault="00604851" w:rsidP="000D47FB">
      <w:pPr>
        <w:ind w:left="1440"/>
      </w:pPr>
      <w:r w:rsidRPr="00B442EA">
        <w:t>(3) The conduct has the purpose or effect of unreasonably interfering with an individual's work performance or creating an intimidating, hostile, or offensive working environment.</w:t>
      </w:r>
    </w:p>
    <w:p w14:paraId="1DAD56F5" w14:textId="77777777" w:rsidR="00D20A07" w:rsidRPr="00B442EA" w:rsidRDefault="00D20A07" w:rsidP="00604851">
      <w:pPr>
        <w:ind w:left="2160"/>
      </w:pPr>
    </w:p>
    <w:p w14:paraId="27C63668" w14:textId="61E6261D" w:rsidR="00604851" w:rsidRPr="00604851" w:rsidRDefault="00604851" w:rsidP="00191B45">
      <w:pPr>
        <w:spacing w:after="160" w:line="259" w:lineRule="auto"/>
        <w:ind w:left="720"/>
        <w:contextualSpacing/>
      </w:pPr>
      <w:r w:rsidRPr="00604851">
        <w:t xml:space="preserve">Findings of fact and law by </w:t>
      </w:r>
      <w:r w:rsidR="00191B45">
        <w:t>the Agency</w:t>
      </w:r>
      <w:r w:rsidRPr="00604851">
        <w:t xml:space="preserve"> shall not collaterally estop adjudication of the issue of sexual harassment in another forum.</w:t>
      </w:r>
    </w:p>
    <w:p w14:paraId="7A21F6D7" w14:textId="77777777" w:rsidR="00604851" w:rsidRPr="00604851" w:rsidRDefault="00604851" w:rsidP="00191B45">
      <w:pPr>
        <w:ind w:left="180" w:hanging="180"/>
      </w:pPr>
    </w:p>
    <w:p w14:paraId="040785C1" w14:textId="36795AA5" w:rsidR="00604851" w:rsidRPr="009563DD" w:rsidRDefault="00604851" w:rsidP="009563DD">
      <w:pPr>
        <w:pStyle w:val="ListParagraph"/>
        <w:numPr>
          <w:ilvl w:val="0"/>
          <w:numId w:val="32"/>
        </w:numPr>
        <w:spacing w:after="160" w:line="259" w:lineRule="auto"/>
        <w:contextualSpacing/>
        <w:rPr>
          <w:rFonts w:cstheme="minorBidi"/>
          <w:b/>
          <w:bCs/>
          <w:i/>
          <w:iCs/>
        </w:rPr>
      </w:pPr>
      <w:r w:rsidRPr="009563DD">
        <w:rPr>
          <w:b/>
          <w:bCs/>
          <w:i/>
          <w:iCs/>
        </w:rPr>
        <w:t>Leaving after a trial work period</w:t>
      </w:r>
      <w:r w:rsidR="00020979" w:rsidRPr="009563DD">
        <w:rPr>
          <w:b/>
          <w:bCs/>
          <w:i/>
          <w:iCs/>
        </w:rPr>
        <w:t>:</w:t>
      </w:r>
      <w:r w:rsidRPr="009563DD">
        <w:rPr>
          <w:b/>
          <w:bCs/>
          <w:i/>
          <w:iCs/>
        </w:rPr>
        <w:t xml:space="preserve"> </w:t>
      </w:r>
      <w:r w:rsidRPr="009563DD">
        <w:rPr>
          <w:rFonts w:cstheme="minorHAnsi"/>
        </w:rPr>
        <w:t xml:space="preserve">An individual shall be deemed to have left their most recent work with good cause if the individual, not under a disqualification, accepts employment which would not have been deemed suitable work and terminates such employment within a period of not more than </w:t>
      </w:r>
      <w:r w:rsidR="00191B45">
        <w:rPr>
          <w:rFonts w:cstheme="minorHAnsi"/>
        </w:rPr>
        <w:t>six</w:t>
      </w:r>
      <w:r w:rsidRPr="009563DD">
        <w:rPr>
          <w:rFonts w:cstheme="minorHAnsi"/>
        </w:rPr>
        <w:t xml:space="preserve"> months of employment with or without good cause.</w:t>
      </w:r>
    </w:p>
    <w:p w14:paraId="2FA2E31A" w14:textId="77777777" w:rsidR="00604851" w:rsidRPr="00604851" w:rsidRDefault="00604851" w:rsidP="00604851">
      <w:pPr>
        <w:pStyle w:val="ListParagraph"/>
        <w:numPr>
          <w:ilvl w:val="0"/>
          <w:numId w:val="0"/>
        </w:numPr>
        <w:ind w:left="720"/>
        <w:rPr>
          <w:rFonts w:cstheme="minorBidi"/>
          <w:b/>
          <w:bCs/>
          <w:i/>
          <w:iCs/>
        </w:rPr>
      </w:pPr>
    </w:p>
    <w:p w14:paraId="16EF39CF" w14:textId="18F00BEC" w:rsidR="00604851" w:rsidRPr="00604851" w:rsidRDefault="00604851" w:rsidP="009563DD">
      <w:pPr>
        <w:pStyle w:val="ListParagraph"/>
        <w:numPr>
          <w:ilvl w:val="0"/>
          <w:numId w:val="32"/>
        </w:numPr>
        <w:spacing w:after="160" w:line="259" w:lineRule="auto"/>
        <w:contextualSpacing/>
        <w:rPr>
          <w:rFonts w:cstheme="minorBidi"/>
          <w:b/>
          <w:bCs/>
          <w:i/>
          <w:iCs/>
        </w:rPr>
      </w:pPr>
      <w:r w:rsidRPr="00604851">
        <w:rPr>
          <w:b/>
          <w:bCs/>
          <w:i/>
          <w:iCs/>
        </w:rPr>
        <w:t>Compulsory retirement</w:t>
      </w:r>
      <w:r w:rsidR="00020979">
        <w:rPr>
          <w:b/>
          <w:bCs/>
          <w:i/>
          <w:iCs/>
        </w:rPr>
        <w:t>:</w:t>
      </w:r>
      <w:r w:rsidRPr="00604851">
        <w:rPr>
          <w:b/>
          <w:bCs/>
          <w:i/>
          <w:iCs/>
        </w:rPr>
        <w:t xml:space="preserve"> </w:t>
      </w:r>
      <w:r w:rsidRPr="00604851">
        <w:rPr>
          <w:rFonts w:cstheme="minorHAnsi"/>
        </w:rPr>
        <w:t xml:space="preserve">An individual shall be deemed to have left their most recent work with good cause if </w:t>
      </w:r>
      <w:proofErr w:type="gramStart"/>
      <w:r w:rsidRPr="00604851">
        <w:rPr>
          <w:rFonts w:cstheme="minorHAnsi"/>
        </w:rPr>
        <w:t>they</w:t>
      </w:r>
      <w:proofErr w:type="gramEnd"/>
      <w:r w:rsidRPr="00604851">
        <w:rPr>
          <w:rFonts w:cstheme="minorHAnsi"/>
        </w:rPr>
        <w:t xml:space="preserve"> left due to compulsory retirement.</w:t>
      </w:r>
    </w:p>
    <w:p w14:paraId="72897A1C" w14:textId="77777777" w:rsidR="00604851" w:rsidRPr="00604851" w:rsidRDefault="00604851" w:rsidP="00604851">
      <w:pPr>
        <w:pStyle w:val="ListParagraph"/>
        <w:numPr>
          <w:ilvl w:val="0"/>
          <w:numId w:val="0"/>
        </w:numPr>
        <w:ind w:left="720"/>
        <w:rPr>
          <w:rFonts w:cstheme="minorBidi"/>
          <w:b/>
          <w:bCs/>
          <w:i/>
          <w:iCs/>
        </w:rPr>
      </w:pPr>
    </w:p>
    <w:p w14:paraId="1F1E820E" w14:textId="0C138117" w:rsidR="00604851" w:rsidRPr="00604851" w:rsidRDefault="00604851" w:rsidP="007C45A0">
      <w:pPr>
        <w:pStyle w:val="ListParagraph"/>
        <w:numPr>
          <w:ilvl w:val="0"/>
          <w:numId w:val="32"/>
        </w:numPr>
        <w:spacing w:after="160" w:line="259" w:lineRule="auto"/>
        <w:contextualSpacing/>
        <w:rPr>
          <w:rFonts w:cstheme="minorBidi"/>
          <w:b/>
          <w:bCs/>
          <w:i/>
          <w:iCs/>
        </w:rPr>
      </w:pPr>
      <w:r w:rsidRPr="00604851">
        <w:rPr>
          <w:b/>
          <w:bCs/>
          <w:i/>
          <w:iCs/>
        </w:rPr>
        <w:t>Accepting a voluntary lay-off when an employer announces a planned lay-off</w:t>
      </w:r>
      <w:r w:rsidR="00020979">
        <w:rPr>
          <w:b/>
          <w:bCs/>
          <w:i/>
          <w:iCs/>
        </w:rPr>
        <w:t>:</w:t>
      </w:r>
      <w:r w:rsidRPr="00604851">
        <w:rPr>
          <w:b/>
          <w:bCs/>
          <w:i/>
          <w:iCs/>
        </w:rPr>
        <w:t xml:space="preserve"> </w:t>
      </w:r>
      <w:r w:rsidRPr="00604851">
        <w:rPr>
          <w:rFonts w:cstheme="minorHAnsi"/>
        </w:rPr>
        <w:t xml:space="preserve">An individual shall be deemed to have left their most recent work with good cause </w:t>
      </w:r>
      <w:r w:rsidRPr="00604851">
        <w:rPr>
          <w:rFonts w:cstheme="minorHAnsi"/>
          <w:color w:val="181614" w:themeColor="text1"/>
          <w:shd w:val="clear" w:color="auto" w:fill="FFFFFF"/>
        </w:rPr>
        <w:t xml:space="preserve">if unemployment is due to </w:t>
      </w:r>
      <w:r w:rsidR="007C45A0">
        <w:rPr>
          <w:rFonts w:cstheme="minorHAnsi"/>
          <w:color w:val="181614" w:themeColor="text1"/>
          <w:shd w:val="clear" w:color="auto" w:fill="FFFFFF"/>
        </w:rPr>
        <w:t>accepting a voluntary lay-off pursuant to an</w:t>
      </w:r>
      <w:r w:rsidRPr="00604851">
        <w:rPr>
          <w:rFonts w:cstheme="minorHAnsi"/>
          <w:color w:val="181614" w:themeColor="text1"/>
          <w:shd w:val="clear" w:color="auto" w:fill="FFFFFF"/>
        </w:rPr>
        <w:t xml:space="preserve"> established employer plan, program or policy, or collective bargaining agreement, or when the employer announced a planned lay-off.</w:t>
      </w:r>
    </w:p>
    <w:p w14:paraId="70700C8E" w14:textId="77777777" w:rsidR="00604851" w:rsidRPr="00604851" w:rsidRDefault="00604851" w:rsidP="00604851">
      <w:pPr>
        <w:pStyle w:val="ListParagraph"/>
        <w:numPr>
          <w:ilvl w:val="0"/>
          <w:numId w:val="0"/>
        </w:numPr>
        <w:ind w:left="720"/>
        <w:rPr>
          <w:rFonts w:cstheme="minorBidi"/>
          <w:b/>
          <w:bCs/>
          <w:i/>
          <w:iCs/>
        </w:rPr>
      </w:pPr>
    </w:p>
    <w:p w14:paraId="639498E4" w14:textId="33EF925A" w:rsidR="00671404" w:rsidRPr="00191B45" w:rsidRDefault="00604851" w:rsidP="00671404">
      <w:pPr>
        <w:rPr>
          <w:color w:val="FF0000"/>
        </w:rPr>
      </w:pPr>
      <w:r w:rsidRPr="00604851">
        <w:t xml:space="preserve"> </w:t>
      </w:r>
      <w:r w:rsidR="00671404" w:rsidRPr="00604851">
        <w:rPr>
          <w:b/>
          <w:bCs/>
        </w:rPr>
        <w:t>Section</w:t>
      </w:r>
      <w:r w:rsidR="00671404">
        <w:rPr>
          <w:b/>
          <w:bCs/>
        </w:rPr>
        <w:t xml:space="preserve"> 6</w:t>
      </w:r>
      <w:r w:rsidR="00671404" w:rsidRPr="00604851">
        <w:rPr>
          <w:b/>
          <w:bCs/>
        </w:rPr>
        <w:t xml:space="preserve">. Additional provisions </w:t>
      </w:r>
      <w:r w:rsidR="00671404" w:rsidRPr="00191B45">
        <w:rPr>
          <w:color w:val="FF0000"/>
        </w:rPr>
        <w:t>[the following provisions help streamline the process for determining whether a worker left for good cause and removes an employer’s incentive to contest the claim</w:t>
      </w:r>
      <w:r w:rsidR="007112C6">
        <w:rPr>
          <w:color w:val="FF0000"/>
        </w:rPr>
        <w:t>.</w:t>
      </w:r>
      <w:r w:rsidR="00671404" w:rsidRPr="00191B45">
        <w:rPr>
          <w:color w:val="FF0000"/>
        </w:rPr>
        <w:t>]</w:t>
      </w:r>
    </w:p>
    <w:p w14:paraId="56BA576A" w14:textId="77777777" w:rsidR="00671404" w:rsidRPr="00604851" w:rsidRDefault="00671404" w:rsidP="00671404">
      <w:pPr>
        <w:rPr>
          <w:b/>
          <w:bCs/>
        </w:rPr>
      </w:pPr>
    </w:p>
    <w:p w14:paraId="4F9F191A" w14:textId="795DD46B" w:rsidR="00671404" w:rsidRDefault="00671404" w:rsidP="008C2222">
      <w:pPr>
        <w:pStyle w:val="ListParagraph"/>
        <w:numPr>
          <w:ilvl w:val="0"/>
          <w:numId w:val="25"/>
        </w:numPr>
        <w:spacing w:after="160" w:line="259" w:lineRule="auto"/>
        <w:contextualSpacing/>
      </w:pPr>
      <w:r w:rsidRPr="000E7841">
        <w:rPr>
          <w:b/>
          <w:bCs/>
          <w:i/>
          <w:iCs/>
        </w:rPr>
        <w:t>Non-charge the separating employer when good cause quit is related to compelling personal reasons</w:t>
      </w:r>
      <w:r w:rsidRPr="000E7841">
        <w:rPr>
          <w:b/>
          <w:bCs/>
        </w:rPr>
        <w:t xml:space="preserve">: </w:t>
      </w:r>
      <w:r w:rsidRPr="00F3686B">
        <w:t>An</w:t>
      </w:r>
      <w:r w:rsidRPr="000E7841">
        <w:rPr>
          <w:b/>
          <w:bCs/>
        </w:rPr>
        <w:t xml:space="preserve"> </w:t>
      </w:r>
      <w:r>
        <w:t>e</w:t>
      </w:r>
      <w:r w:rsidRPr="00604851">
        <w:t xml:space="preserve">mployer’s experience rating </w:t>
      </w:r>
      <w:r>
        <w:t xml:space="preserve">account shall not be </w:t>
      </w:r>
      <w:r w:rsidRPr="00604851">
        <w:t>charged</w:t>
      </w:r>
      <w:r w:rsidR="008C2222">
        <w:t xml:space="preserve"> or,</w:t>
      </w:r>
      <w:r w:rsidR="008C2222" w:rsidRPr="008C2222">
        <w:t xml:space="preserve"> for certain employees, the state shall not seek payment in lieu of contributions</w:t>
      </w:r>
      <w:r w:rsidRPr="00604851">
        <w:t xml:space="preserve"> </w:t>
      </w:r>
      <w:r>
        <w:t>if it is determined that the employee voluntarily left with good cause related to a compelling personal reason</w:t>
      </w:r>
      <w:r w:rsidR="000E7841">
        <w:t>.</w:t>
      </w:r>
      <w:r w:rsidR="00191B45">
        <w:t xml:space="preserve"> </w:t>
      </w:r>
    </w:p>
    <w:p w14:paraId="07BC275C" w14:textId="77777777" w:rsidR="000E7841" w:rsidRPr="000E7841" w:rsidRDefault="000E7841" w:rsidP="00671404">
      <w:pPr>
        <w:pStyle w:val="ListParagraph"/>
        <w:numPr>
          <w:ilvl w:val="0"/>
          <w:numId w:val="0"/>
        </w:numPr>
        <w:spacing w:after="160" w:line="259" w:lineRule="auto"/>
        <w:ind w:left="720"/>
        <w:contextualSpacing/>
        <w:rPr>
          <w:b/>
          <w:bCs/>
        </w:rPr>
      </w:pPr>
    </w:p>
    <w:p w14:paraId="2592DB54" w14:textId="77777777" w:rsidR="00671404" w:rsidRPr="00604851" w:rsidRDefault="077FBC68" w:rsidP="00671404">
      <w:pPr>
        <w:pStyle w:val="ListParagraph"/>
        <w:numPr>
          <w:ilvl w:val="0"/>
          <w:numId w:val="25"/>
        </w:numPr>
        <w:spacing w:after="160" w:line="259" w:lineRule="auto"/>
        <w:contextualSpacing/>
        <w:rPr>
          <w:b/>
          <w:bCs/>
        </w:rPr>
      </w:pPr>
      <w:r w:rsidRPr="077FBC68">
        <w:rPr>
          <w:b/>
          <w:bCs/>
          <w:i/>
          <w:iCs/>
        </w:rPr>
        <w:t>Eliminate requirements that workers explore alternatives to quitting when it would be unreasonable or futile</w:t>
      </w:r>
      <w:r w:rsidRPr="077FBC68">
        <w:rPr>
          <w:b/>
          <w:bCs/>
        </w:rPr>
        <w:t xml:space="preserve">: </w:t>
      </w:r>
      <w:r>
        <w:t xml:space="preserve">The burden of proof is on the employer to provide evidence that a worker was offered a reasonable alternative to quitting.  The worker will not be disqualified for benefits if they fail to explore alternatives to quitting when seeking such alternatives is unreasonable or futile. </w:t>
      </w:r>
    </w:p>
    <w:p w14:paraId="0DF4FA0A" w14:textId="77777777" w:rsidR="00671404" w:rsidRPr="00604851" w:rsidRDefault="00671404" w:rsidP="00671404">
      <w:pPr>
        <w:pStyle w:val="ListParagraph"/>
        <w:numPr>
          <w:ilvl w:val="0"/>
          <w:numId w:val="0"/>
        </w:numPr>
        <w:ind w:left="180"/>
        <w:rPr>
          <w:b/>
          <w:bCs/>
        </w:rPr>
      </w:pPr>
    </w:p>
    <w:p w14:paraId="0A2900EB" w14:textId="77777777" w:rsidR="00671404" w:rsidRPr="0060159E" w:rsidRDefault="00671404" w:rsidP="008C2222">
      <w:pPr>
        <w:pStyle w:val="ListParagraph"/>
        <w:numPr>
          <w:ilvl w:val="0"/>
          <w:numId w:val="25"/>
        </w:numPr>
        <w:spacing w:after="160" w:line="259" w:lineRule="auto"/>
        <w:contextualSpacing/>
        <w:jc w:val="both"/>
        <w:rPr>
          <w:b/>
          <w:bCs/>
        </w:rPr>
      </w:pPr>
      <w:r w:rsidRPr="00020979">
        <w:rPr>
          <w:b/>
          <w:bCs/>
          <w:i/>
          <w:iCs/>
        </w:rPr>
        <w:t>Consider only the most recent separation when evaluating whether workers qualify for UI</w:t>
      </w:r>
      <w:r w:rsidRPr="00604851">
        <w:rPr>
          <w:b/>
          <w:bCs/>
        </w:rPr>
        <w:t>:</w:t>
      </w:r>
      <w:r w:rsidRPr="00604851">
        <w:t xml:space="preserve"> Only the individual’s most recent separation will be considered when evaluating whether</w:t>
      </w:r>
      <w:r>
        <w:t xml:space="preserve"> the individual qualifies for benefits</w:t>
      </w:r>
      <w:r w:rsidRPr="00604851">
        <w:t>.</w:t>
      </w:r>
    </w:p>
    <w:p w14:paraId="6214DC16" w14:textId="77777777" w:rsidR="00671404" w:rsidRPr="00604851" w:rsidRDefault="00671404" w:rsidP="00671404">
      <w:pPr>
        <w:pStyle w:val="ListParagraph"/>
        <w:numPr>
          <w:ilvl w:val="0"/>
          <w:numId w:val="0"/>
        </w:numPr>
        <w:spacing w:after="160" w:line="259" w:lineRule="auto"/>
        <w:ind w:left="720"/>
        <w:contextualSpacing/>
        <w:rPr>
          <w:b/>
          <w:bCs/>
        </w:rPr>
      </w:pPr>
    </w:p>
    <w:p w14:paraId="554C11FB" w14:textId="77777777" w:rsidR="00671404" w:rsidRDefault="00671404" w:rsidP="00671404">
      <w:pPr>
        <w:pStyle w:val="ListParagraph"/>
        <w:numPr>
          <w:ilvl w:val="0"/>
          <w:numId w:val="25"/>
        </w:numPr>
        <w:spacing w:after="160" w:line="259" w:lineRule="auto"/>
        <w:contextualSpacing/>
        <w:rPr>
          <w:rStyle w:val="cf01"/>
          <w:rFonts w:asciiTheme="minorHAnsi" w:hAnsiTheme="minorHAnsi" w:cstheme="minorHAnsi"/>
          <w:sz w:val="20"/>
          <w:szCs w:val="20"/>
        </w:rPr>
      </w:pPr>
      <w:r w:rsidRPr="00020979">
        <w:rPr>
          <w:rStyle w:val="cf01"/>
          <w:rFonts w:asciiTheme="minorHAnsi" w:hAnsiTheme="minorHAnsi" w:cstheme="minorHAnsi"/>
          <w:b/>
          <w:bCs/>
          <w:i/>
          <w:iCs/>
          <w:sz w:val="20"/>
          <w:szCs w:val="20"/>
        </w:rPr>
        <w:t>Create a rebuttable presumption that the worker had good cause to quit</w:t>
      </w:r>
      <w:r>
        <w:rPr>
          <w:rStyle w:val="cf01"/>
          <w:rFonts w:asciiTheme="minorHAnsi" w:hAnsiTheme="minorHAnsi" w:cstheme="minorHAnsi"/>
          <w:b/>
          <w:bCs/>
          <w:sz w:val="20"/>
          <w:szCs w:val="20"/>
        </w:rPr>
        <w:t xml:space="preserve">: </w:t>
      </w:r>
      <w:r w:rsidRPr="00604851">
        <w:rPr>
          <w:rStyle w:val="cf01"/>
          <w:rFonts w:asciiTheme="minorHAnsi" w:hAnsiTheme="minorHAnsi" w:cstheme="minorHAnsi"/>
          <w:sz w:val="20"/>
          <w:szCs w:val="20"/>
        </w:rPr>
        <w:t xml:space="preserve">An individual is presumed to have been discharged for reasons other than misconduct in connection with </w:t>
      </w:r>
      <w:r>
        <w:rPr>
          <w:rStyle w:val="cf01"/>
          <w:rFonts w:asciiTheme="minorHAnsi" w:hAnsiTheme="minorHAnsi" w:cstheme="minorHAnsi"/>
          <w:sz w:val="20"/>
          <w:szCs w:val="20"/>
        </w:rPr>
        <w:t>their</w:t>
      </w:r>
      <w:r w:rsidRPr="00604851">
        <w:rPr>
          <w:rStyle w:val="cf01"/>
          <w:rFonts w:asciiTheme="minorHAnsi" w:hAnsiTheme="minorHAnsi" w:cstheme="minorHAnsi"/>
          <w:sz w:val="20"/>
          <w:szCs w:val="20"/>
        </w:rPr>
        <w:t xml:space="preserve"> work and not to have voluntarily left without good cause unless </w:t>
      </w:r>
      <w:r>
        <w:rPr>
          <w:rStyle w:val="cf01"/>
          <w:rFonts w:asciiTheme="minorHAnsi" w:hAnsiTheme="minorHAnsi" w:cstheme="minorHAnsi"/>
          <w:sz w:val="20"/>
          <w:szCs w:val="20"/>
        </w:rPr>
        <w:t>their</w:t>
      </w:r>
      <w:r w:rsidRPr="00604851">
        <w:rPr>
          <w:rStyle w:val="cf01"/>
          <w:rFonts w:asciiTheme="minorHAnsi" w:hAnsiTheme="minorHAnsi" w:cstheme="minorHAnsi"/>
          <w:sz w:val="20"/>
          <w:szCs w:val="20"/>
        </w:rPr>
        <w:t xml:space="preserve"> employer has given written notice to the contrary to the agency, setting </w:t>
      </w:r>
      <w:r w:rsidRPr="00604851">
        <w:rPr>
          <w:rStyle w:val="cf01"/>
          <w:rFonts w:asciiTheme="minorHAnsi" w:hAnsiTheme="minorHAnsi" w:cstheme="minorHAnsi"/>
          <w:sz w:val="20"/>
          <w:szCs w:val="20"/>
        </w:rPr>
        <w:lastRenderedPageBreak/>
        <w:t>forth facts sufficient to overcome the presumption. The presumption provided by this section is rebuttable</w:t>
      </w:r>
      <w:r>
        <w:rPr>
          <w:rStyle w:val="cf01"/>
          <w:rFonts w:asciiTheme="minorHAnsi" w:hAnsiTheme="minorHAnsi" w:cstheme="minorHAnsi"/>
          <w:sz w:val="20"/>
          <w:szCs w:val="20"/>
        </w:rPr>
        <w:t>.</w:t>
      </w:r>
    </w:p>
    <w:p w14:paraId="625AA9CA" w14:textId="77777777" w:rsidR="00671404" w:rsidRPr="00671404" w:rsidRDefault="00671404" w:rsidP="00671404">
      <w:pPr>
        <w:pStyle w:val="ListParagraph"/>
        <w:numPr>
          <w:ilvl w:val="0"/>
          <w:numId w:val="0"/>
        </w:numPr>
        <w:ind w:left="180"/>
        <w:rPr>
          <w:rFonts w:asciiTheme="minorHAnsi" w:hAnsiTheme="minorHAnsi" w:cstheme="minorHAnsi"/>
          <w:shd w:val="clear" w:color="auto" w:fill="FFFFFF"/>
        </w:rPr>
      </w:pPr>
    </w:p>
    <w:p w14:paraId="4B30A1E5" w14:textId="77777777" w:rsidR="00671404" w:rsidRPr="0060159E" w:rsidRDefault="00671404" w:rsidP="00671404">
      <w:pPr>
        <w:pStyle w:val="ListParagraph"/>
        <w:numPr>
          <w:ilvl w:val="0"/>
          <w:numId w:val="25"/>
        </w:numPr>
        <w:spacing w:after="160" w:line="259" w:lineRule="auto"/>
        <w:contextualSpacing/>
        <w:rPr>
          <w:rFonts w:asciiTheme="minorHAnsi" w:hAnsiTheme="minorHAnsi" w:cstheme="minorHAnsi"/>
          <w:shd w:val="clear" w:color="auto" w:fill="FFFFFF"/>
        </w:rPr>
      </w:pPr>
      <w:r w:rsidRPr="00671404">
        <w:rPr>
          <w:b/>
          <w:bCs/>
        </w:rPr>
        <w:t>Limit period of disqualification for workers quitting without good cause</w:t>
      </w:r>
      <w:r w:rsidRPr="00671404">
        <w:t xml:space="preserve">. </w:t>
      </w:r>
      <w:r w:rsidRPr="00604851">
        <w:t>The disqualification</w:t>
      </w:r>
      <w:r>
        <w:t xml:space="preserve"> for voluntarily quitting without good cause</w:t>
      </w:r>
      <w:r w:rsidRPr="00604851">
        <w:t xml:space="preserve"> shall begin the day following the separation and shall continue until after the individual has become reemployed and has had earnings from insured work of at least three times the individual's weekly benefit amount.</w:t>
      </w:r>
    </w:p>
    <w:p w14:paraId="0FBBAA0D" w14:textId="23BF9D2B" w:rsidR="00ED55FA" w:rsidRPr="00671404" w:rsidRDefault="00ED55FA" w:rsidP="00671404">
      <w:pPr>
        <w:pStyle w:val="ListParagraph"/>
        <w:numPr>
          <w:ilvl w:val="0"/>
          <w:numId w:val="0"/>
        </w:numPr>
        <w:spacing w:after="160" w:line="259" w:lineRule="auto"/>
        <w:ind w:left="720"/>
        <w:contextualSpacing/>
        <w:rPr>
          <w:b/>
          <w:bCs/>
        </w:rPr>
      </w:pPr>
    </w:p>
    <w:sectPr w:rsidR="00ED55FA" w:rsidRPr="00671404" w:rsidSect="00A536D3">
      <w:headerReference w:type="default" r:id="rId13"/>
      <w:footerReference w:type="even" r:id="rId14"/>
      <w:footerReference w:type="default" r:id="rId15"/>
      <w:pgSz w:w="12240" w:h="15840"/>
      <w:pgMar w:top="1080" w:right="2160" w:bottom="126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C2C6" w14:textId="77777777" w:rsidR="00EA230A" w:rsidRDefault="00EA230A">
      <w:r>
        <w:separator/>
      </w:r>
    </w:p>
  </w:endnote>
  <w:endnote w:type="continuationSeparator" w:id="0">
    <w:p w14:paraId="51715345" w14:textId="77777777" w:rsidR="00EA230A" w:rsidRDefault="00EA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emposText-RegularItalic">
    <w:altName w:val="Calibri"/>
    <w:panose1 w:val="020205030603030D0403"/>
    <w:charset w:val="4D"/>
    <w:family w:val="auto"/>
    <w:notTrueType/>
    <w:pitch w:val="default"/>
    <w:sig w:usb0="00000003" w:usb1="00000000" w:usb2="00000000" w:usb3="00000000" w:csb0="00000001" w:csb1="00000000"/>
  </w:font>
  <w:font w:name="ProximaNova-Extrabld">
    <w:altName w:val="Calibri"/>
    <w:panose1 w:val="00000000000000000000"/>
    <w:charset w:val="4D"/>
    <w:family w:val="auto"/>
    <w:notTrueType/>
    <w:pitch w:val="default"/>
    <w:sig w:usb0="00000003" w:usb1="00000000" w:usb2="00000000" w:usb3="00000000" w:csb0="00000001" w:csb1="00000000"/>
  </w:font>
  <w:font w:name="TiemposText-Regular">
    <w:altName w:val="Cambria"/>
    <w:panose1 w:val="020205030603030604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26B6" w14:textId="77777777" w:rsidR="00ED55FA" w:rsidRDefault="000022D0" w:rsidP="00A53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EA069B" w14:textId="77777777" w:rsidR="00ED55FA" w:rsidRDefault="00ED55FA" w:rsidP="00A53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5944" w14:textId="77777777" w:rsidR="00ED55FA" w:rsidRPr="000C7154" w:rsidRDefault="000022D0" w:rsidP="00A536D3">
    <w:pPr>
      <w:pStyle w:val="Footer"/>
      <w:framePr w:wrap="around" w:vAnchor="text" w:hAnchor="page" w:x="10001" w:y="106"/>
      <w:rPr>
        <w:rStyle w:val="PageNumber"/>
      </w:rPr>
    </w:pPr>
    <w:r w:rsidRPr="000C7154">
      <w:rPr>
        <w:rStyle w:val="PageNumber"/>
        <w:rFonts w:ascii="Calibri" w:hAnsi="Calibri"/>
        <w:b/>
        <w:sz w:val="16"/>
      </w:rPr>
      <w:fldChar w:fldCharType="begin"/>
    </w:r>
    <w:r w:rsidRPr="000C7154">
      <w:rPr>
        <w:rStyle w:val="PageNumber"/>
        <w:rFonts w:ascii="Calibri" w:hAnsi="Calibri"/>
        <w:b/>
        <w:sz w:val="16"/>
      </w:rPr>
      <w:instrText xml:space="preserve">PAGE  </w:instrText>
    </w:r>
    <w:r w:rsidRPr="000C7154">
      <w:rPr>
        <w:rStyle w:val="PageNumber"/>
        <w:rFonts w:ascii="Calibri" w:hAnsi="Calibri"/>
        <w:b/>
        <w:sz w:val="16"/>
      </w:rPr>
      <w:fldChar w:fldCharType="separate"/>
    </w:r>
    <w:r w:rsidR="00461004">
      <w:rPr>
        <w:rStyle w:val="PageNumber"/>
        <w:rFonts w:ascii="Calibri" w:hAnsi="Calibri"/>
        <w:b/>
        <w:noProof/>
        <w:sz w:val="16"/>
      </w:rPr>
      <w:t>1</w:t>
    </w:r>
    <w:r w:rsidRPr="000C7154">
      <w:rPr>
        <w:rStyle w:val="PageNumber"/>
        <w:rFonts w:ascii="Calibri" w:hAnsi="Calibri"/>
        <w:b/>
        <w:sz w:val="16"/>
      </w:rPr>
      <w:fldChar w:fldCharType="end"/>
    </w:r>
  </w:p>
  <w:p w14:paraId="33A85C19" w14:textId="2AC5221D" w:rsidR="00ED55FA" w:rsidRPr="000C7154" w:rsidRDefault="003823CB" w:rsidP="00A536D3">
    <w:pPr>
      <w:pStyle w:val="Footer"/>
      <w:pBdr>
        <w:top w:val="single" w:sz="4" w:space="1" w:color="AF272F"/>
      </w:pBdr>
      <w:rPr>
        <w:rFonts w:ascii="Calibri" w:hAnsi="Calibri"/>
        <w:sz w:val="16"/>
      </w:rPr>
    </w:pPr>
    <w:r>
      <w:rPr>
        <w:rFonts w:ascii="Calibri" w:hAnsi="Calibri"/>
        <w:sz w:val="16"/>
      </w:rPr>
      <w:t xml:space="preserve">NELP | </w:t>
    </w:r>
    <w:r w:rsidR="008E2F82">
      <w:rPr>
        <w:rFonts w:ascii="Calibri" w:hAnsi="Calibri"/>
        <w:sz w:val="16"/>
      </w:rPr>
      <w:t xml:space="preserve">MODEL STATE LEGISLATION: </w:t>
    </w:r>
    <w:r w:rsidR="00604851">
      <w:rPr>
        <w:rFonts w:ascii="Calibri" w:hAnsi="Calibri"/>
        <w:sz w:val="16"/>
      </w:rPr>
      <w:t>Good Cause Quits</w:t>
    </w:r>
    <w:r w:rsidR="000022D0" w:rsidRPr="000C7154">
      <w:rPr>
        <w:rFonts w:ascii="Calibri" w:hAnsi="Calibri"/>
        <w:sz w:val="16"/>
      </w:rPr>
      <w:t xml:space="preserve"> | </w:t>
    </w:r>
    <w:r w:rsidR="00944E6B">
      <w:rPr>
        <w:rFonts w:ascii="Calibri" w:hAnsi="Calibri"/>
        <w:sz w:val="16"/>
      </w:rPr>
      <w:t>November 2023</w:t>
    </w:r>
    <w:r w:rsidR="000022D0">
      <w:rPr>
        <w:rFonts w:ascii="Calibri" w:hAnsi="Calibr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A11B" w14:textId="77777777" w:rsidR="00EA230A" w:rsidRDefault="00EA230A">
      <w:r>
        <w:separator/>
      </w:r>
    </w:p>
  </w:footnote>
  <w:footnote w:type="continuationSeparator" w:id="0">
    <w:p w14:paraId="0671779F" w14:textId="77777777" w:rsidR="00EA230A" w:rsidRDefault="00EA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0"/>
      <w:gridCol w:w="2640"/>
      <w:gridCol w:w="2640"/>
    </w:tblGrid>
    <w:tr w:rsidR="2CCD63C6" w14:paraId="6F52CB42" w14:textId="77777777" w:rsidTr="2CCD63C6">
      <w:tc>
        <w:tcPr>
          <w:tcW w:w="2640" w:type="dxa"/>
        </w:tcPr>
        <w:p w14:paraId="1E766996" w14:textId="3B2EA294" w:rsidR="2CCD63C6" w:rsidRDefault="2CCD63C6" w:rsidP="2CCD63C6">
          <w:pPr>
            <w:pStyle w:val="Header"/>
            <w:ind w:left="-115"/>
          </w:pPr>
        </w:p>
      </w:tc>
      <w:tc>
        <w:tcPr>
          <w:tcW w:w="2640" w:type="dxa"/>
        </w:tcPr>
        <w:p w14:paraId="3266F8FE" w14:textId="4C6C8611" w:rsidR="2CCD63C6" w:rsidRDefault="2CCD63C6" w:rsidP="2CCD63C6">
          <w:pPr>
            <w:pStyle w:val="Header"/>
            <w:jc w:val="center"/>
          </w:pPr>
        </w:p>
      </w:tc>
      <w:tc>
        <w:tcPr>
          <w:tcW w:w="2640" w:type="dxa"/>
        </w:tcPr>
        <w:p w14:paraId="086FE451" w14:textId="5FA62C77" w:rsidR="2CCD63C6" w:rsidRDefault="2CCD63C6" w:rsidP="2CCD63C6">
          <w:pPr>
            <w:pStyle w:val="Header"/>
            <w:ind w:right="-115"/>
            <w:jc w:val="right"/>
          </w:pPr>
        </w:p>
      </w:tc>
    </w:tr>
  </w:tbl>
  <w:p w14:paraId="7061E2F6" w14:textId="14487762" w:rsidR="2CCD63C6" w:rsidRDefault="2CCD63C6" w:rsidP="2CCD6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9A7"/>
    <w:multiLevelType w:val="hybridMultilevel"/>
    <w:tmpl w:val="B08EE668"/>
    <w:lvl w:ilvl="0" w:tplc="2BFCA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F3E27"/>
    <w:multiLevelType w:val="hybridMultilevel"/>
    <w:tmpl w:val="3928350C"/>
    <w:lvl w:ilvl="0" w:tplc="93B873AA">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F34173"/>
    <w:multiLevelType w:val="hybridMultilevel"/>
    <w:tmpl w:val="1FAED1E6"/>
    <w:lvl w:ilvl="0" w:tplc="2BFCA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EF6628"/>
    <w:multiLevelType w:val="hybridMultilevel"/>
    <w:tmpl w:val="459852F8"/>
    <w:lvl w:ilvl="0" w:tplc="720EFA30">
      <w:start w:val="1"/>
      <w:numFmt w:val="lowerLetter"/>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27FA9"/>
    <w:multiLevelType w:val="hybridMultilevel"/>
    <w:tmpl w:val="B64C3468"/>
    <w:lvl w:ilvl="0" w:tplc="FE303C9E">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5121BA"/>
    <w:multiLevelType w:val="hybridMultilevel"/>
    <w:tmpl w:val="64580CD2"/>
    <w:lvl w:ilvl="0" w:tplc="3C26C72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F7BAD"/>
    <w:multiLevelType w:val="hybridMultilevel"/>
    <w:tmpl w:val="2D7AE9F8"/>
    <w:lvl w:ilvl="0" w:tplc="6DC22488">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70682F"/>
    <w:multiLevelType w:val="hybridMultilevel"/>
    <w:tmpl w:val="BE520A56"/>
    <w:lvl w:ilvl="0" w:tplc="FE349AE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0BC58A8">
      <w:start w:val="1"/>
      <w:numFmt w:val="lowerRoman"/>
      <w:lvlText w:val="%3."/>
      <w:lvlJc w:val="right"/>
      <w:pPr>
        <w:ind w:left="2160" w:hanging="180"/>
      </w:pPr>
      <w:rPr>
        <w:b/>
        <w:bCs/>
        <w:i/>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B0881"/>
    <w:multiLevelType w:val="hybridMultilevel"/>
    <w:tmpl w:val="D7E2AE64"/>
    <w:lvl w:ilvl="0" w:tplc="04090003">
      <w:start w:val="1"/>
      <w:numFmt w:val="bullet"/>
      <w:lvlText w:val="o"/>
      <w:lvlJc w:val="left"/>
      <w:pPr>
        <w:ind w:left="6120" w:hanging="360"/>
      </w:pPr>
      <w:rPr>
        <w:rFonts w:ascii="Courier New" w:hAnsi="Courier New" w:cs="Courier New" w:hint="default"/>
      </w:rPr>
    </w:lvl>
    <w:lvl w:ilvl="1" w:tplc="FFFFFFFF" w:tentative="1">
      <w:start w:val="1"/>
      <w:numFmt w:val="bullet"/>
      <w:lvlText w:val="o"/>
      <w:lvlJc w:val="left"/>
      <w:pPr>
        <w:ind w:left="6840" w:hanging="360"/>
      </w:pPr>
      <w:rPr>
        <w:rFonts w:ascii="Courier New" w:hAnsi="Courier New" w:cs="Courier New" w:hint="default"/>
      </w:rPr>
    </w:lvl>
    <w:lvl w:ilvl="2" w:tplc="FFFFFFFF" w:tentative="1">
      <w:start w:val="1"/>
      <w:numFmt w:val="bullet"/>
      <w:lvlText w:val=""/>
      <w:lvlJc w:val="left"/>
      <w:pPr>
        <w:ind w:left="7560" w:hanging="360"/>
      </w:pPr>
      <w:rPr>
        <w:rFonts w:ascii="Wingdings" w:hAnsi="Wingdings" w:hint="default"/>
      </w:rPr>
    </w:lvl>
    <w:lvl w:ilvl="3" w:tplc="FFFFFFFF" w:tentative="1">
      <w:start w:val="1"/>
      <w:numFmt w:val="bullet"/>
      <w:lvlText w:val=""/>
      <w:lvlJc w:val="left"/>
      <w:pPr>
        <w:ind w:left="8280" w:hanging="360"/>
      </w:pPr>
      <w:rPr>
        <w:rFonts w:ascii="Symbol" w:hAnsi="Symbol" w:hint="default"/>
      </w:rPr>
    </w:lvl>
    <w:lvl w:ilvl="4" w:tplc="FFFFFFFF" w:tentative="1">
      <w:start w:val="1"/>
      <w:numFmt w:val="bullet"/>
      <w:lvlText w:val="o"/>
      <w:lvlJc w:val="left"/>
      <w:pPr>
        <w:ind w:left="9000" w:hanging="360"/>
      </w:pPr>
      <w:rPr>
        <w:rFonts w:ascii="Courier New" w:hAnsi="Courier New" w:cs="Courier New" w:hint="default"/>
      </w:rPr>
    </w:lvl>
    <w:lvl w:ilvl="5" w:tplc="FFFFFFFF" w:tentative="1">
      <w:start w:val="1"/>
      <w:numFmt w:val="bullet"/>
      <w:lvlText w:val=""/>
      <w:lvlJc w:val="left"/>
      <w:pPr>
        <w:ind w:left="9720" w:hanging="360"/>
      </w:pPr>
      <w:rPr>
        <w:rFonts w:ascii="Wingdings" w:hAnsi="Wingdings" w:hint="default"/>
      </w:rPr>
    </w:lvl>
    <w:lvl w:ilvl="6" w:tplc="FFFFFFFF" w:tentative="1">
      <w:start w:val="1"/>
      <w:numFmt w:val="bullet"/>
      <w:lvlText w:val=""/>
      <w:lvlJc w:val="left"/>
      <w:pPr>
        <w:ind w:left="10440" w:hanging="360"/>
      </w:pPr>
      <w:rPr>
        <w:rFonts w:ascii="Symbol" w:hAnsi="Symbol" w:hint="default"/>
      </w:rPr>
    </w:lvl>
    <w:lvl w:ilvl="7" w:tplc="FFFFFFFF" w:tentative="1">
      <w:start w:val="1"/>
      <w:numFmt w:val="bullet"/>
      <w:lvlText w:val="o"/>
      <w:lvlJc w:val="left"/>
      <w:pPr>
        <w:ind w:left="11160" w:hanging="360"/>
      </w:pPr>
      <w:rPr>
        <w:rFonts w:ascii="Courier New" w:hAnsi="Courier New" w:cs="Courier New" w:hint="default"/>
      </w:rPr>
    </w:lvl>
    <w:lvl w:ilvl="8" w:tplc="FFFFFFFF" w:tentative="1">
      <w:start w:val="1"/>
      <w:numFmt w:val="bullet"/>
      <w:lvlText w:val=""/>
      <w:lvlJc w:val="left"/>
      <w:pPr>
        <w:ind w:left="11880" w:hanging="360"/>
      </w:pPr>
      <w:rPr>
        <w:rFonts w:ascii="Wingdings" w:hAnsi="Wingdings" w:hint="default"/>
      </w:rPr>
    </w:lvl>
  </w:abstractNum>
  <w:abstractNum w:abstractNumId="9" w15:restartNumberingAfterBreak="0">
    <w:nsid w:val="13182B1D"/>
    <w:multiLevelType w:val="hybridMultilevel"/>
    <w:tmpl w:val="07F8343C"/>
    <w:lvl w:ilvl="0" w:tplc="111CAB12">
      <w:start w:val="1"/>
      <w:numFmt w:val="lowerLetter"/>
      <w:lvlText w:val="(%1)"/>
      <w:lvlJc w:val="left"/>
      <w:pPr>
        <w:ind w:left="1080" w:hanging="720"/>
      </w:pPr>
      <w:rPr>
        <w:rFonts w:asciiTheme="minorHAnsi" w:eastAsiaTheme="minorHAnsi" w:hAnsiTheme="minorHAnsi" w:cstheme="minorBidi"/>
      </w:rPr>
    </w:lvl>
    <w:lvl w:ilvl="1" w:tplc="EA0C596A">
      <w:start w:val="1"/>
      <w:numFmt w:val="lowerLetter"/>
      <w:lvlText w:val="%2."/>
      <w:lvlJc w:val="left"/>
      <w:pPr>
        <w:ind w:left="1440" w:hanging="360"/>
      </w:pPr>
      <w:rPr>
        <w:b/>
        <w:bCs/>
        <w:i/>
        <w:iCs/>
        <w:sz w:val="24"/>
        <w:szCs w:val="24"/>
      </w:rPr>
    </w:lvl>
    <w:lvl w:ilvl="2" w:tplc="3B8E24BA">
      <w:start w:val="1"/>
      <w:numFmt w:val="lowerRoman"/>
      <w:lvlText w:val="(%3)"/>
      <w:lvlJc w:val="right"/>
      <w:pPr>
        <w:ind w:left="2160" w:hanging="180"/>
      </w:pPr>
      <w:rPr>
        <w:rFonts w:ascii="Cambria" w:eastAsia="Cambria" w:hAnsi="Cambria" w:cstheme="minorHAnsi"/>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D7FDB"/>
    <w:multiLevelType w:val="hybridMultilevel"/>
    <w:tmpl w:val="71E272A4"/>
    <w:lvl w:ilvl="0" w:tplc="6E982436">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32192"/>
    <w:multiLevelType w:val="hybridMultilevel"/>
    <w:tmpl w:val="2586D76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C15163B"/>
    <w:multiLevelType w:val="hybridMultilevel"/>
    <w:tmpl w:val="6AF82F78"/>
    <w:lvl w:ilvl="0" w:tplc="2708E73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E40AEC"/>
    <w:multiLevelType w:val="hybridMultilevel"/>
    <w:tmpl w:val="937A4FE0"/>
    <w:lvl w:ilvl="0" w:tplc="93B873AA">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A85B2A"/>
    <w:multiLevelType w:val="hybridMultilevel"/>
    <w:tmpl w:val="473ADDB6"/>
    <w:lvl w:ilvl="0" w:tplc="6DC2248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0607E"/>
    <w:multiLevelType w:val="hybridMultilevel"/>
    <w:tmpl w:val="51F2310A"/>
    <w:lvl w:ilvl="0" w:tplc="89260574">
      <w:start w:val="1"/>
      <w:numFmt w:val="lowerLetter"/>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AB22CF22">
      <w:start w:val="1"/>
      <w:numFmt w:val="lowerRoman"/>
      <w:lvlText w:val="(%3)"/>
      <w:lvlJc w:val="right"/>
      <w:pPr>
        <w:ind w:left="2160" w:hanging="180"/>
      </w:pPr>
      <w:rPr>
        <w:rFonts w:ascii="Cambria" w:eastAsia="Cambria" w:hAnsi="Cambria" w:cs="Times New Roman"/>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124852"/>
    <w:multiLevelType w:val="hybridMultilevel"/>
    <w:tmpl w:val="029429D2"/>
    <w:lvl w:ilvl="0" w:tplc="CC72D55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9125E"/>
    <w:multiLevelType w:val="hybridMultilevel"/>
    <w:tmpl w:val="C62C365A"/>
    <w:lvl w:ilvl="0" w:tplc="6DC22488">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5A3B48"/>
    <w:multiLevelType w:val="hybridMultilevel"/>
    <w:tmpl w:val="290895FA"/>
    <w:lvl w:ilvl="0" w:tplc="050873D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A656F"/>
    <w:multiLevelType w:val="hybridMultilevel"/>
    <w:tmpl w:val="FA7E49BC"/>
    <w:lvl w:ilvl="0" w:tplc="99C479BE">
      <w:start w:val="1"/>
      <w:numFmt w:val="lowerRoman"/>
      <w:lvlText w:val="%1."/>
      <w:lvlJc w:val="left"/>
      <w:pPr>
        <w:ind w:left="1440" w:hanging="72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BC7833"/>
    <w:multiLevelType w:val="hybridMultilevel"/>
    <w:tmpl w:val="C5167042"/>
    <w:lvl w:ilvl="0" w:tplc="2BFCA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C7"/>
    <w:multiLevelType w:val="hybridMultilevel"/>
    <w:tmpl w:val="70BC55FE"/>
    <w:lvl w:ilvl="0" w:tplc="6DC22488">
      <w:start w:val="1"/>
      <w:numFmt w:val="bullet"/>
      <w:lvlText w:val=""/>
      <w:lvlJc w:val="left"/>
      <w:pPr>
        <w:ind w:left="900" w:hanging="360"/>
      </w:pPr>
      <w:rPr>
        <w:rFonts w:ascii="Symbol" w:hAnsi="Symbol" w:hint="default"/>
        <w:color w:val="C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D175890"/>
    <w:multiLevelType w:val="hybridMultilevel"/>
    <w:tmpl w:val="4E8A7506"/>
    <w:lvl w:ilvl="0" w:tplc="8D987900">
      <w:start w:val="1"/>
      <w:numFmt w:val="lowerLetter"/>
      <w:lvlText w:val="(%1)"/>
      <w:lvlJc w:val="left"/>
      <w:pPr>
        <w:ind w:left="360" w:hanging="360"/>
      </w:pPr>
      <w:rPr>
        <w:rFonts w:asciiTheme="minorHAnsi" w:eastAsiaTheme="minorHAnsi" w:hAnsiTheme="minorHAnsi" w:cstheme="minorBidi" w:hint="default"/>
      </w:rPr>
    </w:lvl>
    <w:lvl w:ilvl="1" w:tplc="FA927F4C">
      <w:start w:val="1"/>
      <w:numFmt w:val="lowerRoman"/>
      <w:lvlText w:val="(%2)"/>
      <w:lvlJc w:val="right"/>
      <w:pPr>
        <w:ind w:left="1080" w:hanging="360"/>
      </w:pPr>
      <w:rPr>
        <w:rFonts w:ascii="Cambria" w:eastAsia="Cambria" w:hAnsi="Cambria" w:cstheme="minorHAnsi"/>
      </w:rPr>
    </w:lvl>
    <w:lvl w:ilvl="2" w:tplc="FFFFFFFF">
      <w:start w:val="1"/>
      <w:numFmt w:val="lowerLetter"/>
      <w:lvlText w:val="(%3)"/>
      <w:lvlJc w:val="left"/>
      <w:pPr>
        <w:ind w:left="1800" w:hanging="360"/>
      </w:pPr>
      <w:rPr>
        <w:rFonts w:asciiTheme="minorHAnsi" w:eastAsiaTheme="minorHAnsi" w:hAnsiTheme="minorHAnsi" w:cstheme="minorBidi"/>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E10373F"/>
    <w:multiLevelType w:val="hybridMultilevel"/>
    <w:tmpl w:val="1CB6F504"/>
    <w:lvl w:ilvl="0" w:tplc="B528330E">
      <w:start w:val="9"/>
      <w:numFmt w:val="lowerLetter"/>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2037AC"/>
    <w:multiLevelType w:val="hybridMultilevel"/>
    <w:tmpl w:val="23526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41396"/>
    <w:multiLevelType w:val="hybridMultilevel"/>
    <w:tmpl w:val="11AE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17ECB"/>
    <w:multiLevelType w:val="hybridMultilevel"/>
    <w:tmpl w:val="EF88FE36"/>
    <w:lvl w:ilvl="0" w:tplc="2BFCA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16EC7"/>
    <w:multiLevelType w:val="hybridMultilevel"/>
    <w:tmpl w:val="44CE2A0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3373D23"/>
    <w:multiLevelType w:val="hybridMultilevel"/>
    <w:tmpl w:val="95D0C572"/>
    <w:lvl w:ilvl="0" w:tplc="207C8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1A38FD"/>
    <w:multiLevelType w:val="hybridMultilevel"/>
    <w:tmpl w:val="1FAED1E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42D6603"/>
    <w:multiLevelType w:val="hybridMultilevel"/>
    <w:tmpl w:val="D0CCA092"/>
    <w:lvl w:ilvl="0" w:tplc="9E76AA78">
      <w:start w:val="1"/>
      <w:numFmt w:val="bullet"/>
      <w:pStyle w:val="ListParagraph"/>
      <w:lvlText w:val=""/>
      <w:lvlJc w:val="left"/>
      <w:pPr>
        <w:ind w:left="720" w:hanging="360"/>
      </w:pPr>
      <w:rPr>
        <w:rFonts w:ascii="Symbol" w:hAnsi="Symbol" w:hint="default"/>
        <w:color w:val="AF272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94223"/>
    <w:multiLevelType w:val="hybridMultilevel"/>
    <w:tmpl w:val="F0A0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D426C"/>
    <w:multiLevelType w:val="hybridMultilevel"/>
    <w:tmpl w:val="BC50FD4A"/>
    <w:lvl w:ilvl="0" w:tplc="BF0CAD46">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0D67F11"/>
    <w:multiLevelType w:val="hybridMultilevel"/>
    <w:tmpl w:val="1F08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31697"/>
    <w:multiLevelType w:val="hybridMultilevel"/>
    <w:tmpl w:val="1F6A7748"/>
    <w:lvl w:ilvl="0" w:tplc="64EC32E0">
      <w:start w:val="1"/>
      <w:numFmt w:val="bullet"/>
      <w:lvlText w:val="-"/>
      <w:lvlJc w:val="left"/>
      <w:pPr>
        <w:ind w:left="360" w:hanging="360"/>
      </w:pPr>
      <w:rPr>
        <w:rFonts w:ascii="Calibri" w:eastAsiaTheme="minorHAnsi" w:hAnsi="Calibri" w:cs="Calibri" w:hint="default"/>
      </w:rPr>
    </w:lvl>
    <w:lvl w:ilvl="1" w:tplc="9D58DCD6">
      <w:start w:val="1"/>
      <w:numFmt w:val="bullet"/>
      <w:lvlText w:val="o"/>
      <w:lvlJc w:val="left"/>
      <w:pPr>
        <w:ind w:left="1080" w:hanging="360"/>
      </w:pPr>
      <w:rPr>
        <w:rFonts w:ascii="Courier New" w:hAnsi="Courier New" w:cs="Courier New" w:hint="default"/>
        <w:color w:val="181614" w:themeColor="text1"/>
      </w:rPr>
    </w:lvl>
    <w:lvl w:ilvl="2" w:tplc="8D987900">
      <w:start w:val="1"/>
      <w:numFmt w:val="lowerLetter"/>
      <w:lvlText w:val="(%3)"/>
      <w:lvlJc w:val="left"/>
      <w:pPr>
        <w:ind w:left="1800" w:hanging="360"/>
      </w:pPr>
      <w:rPr>
        <w:rFonts w:asciiTheme="minorHAnsi" w:eastAsiaTheme="minorHAnsi" w:hAnsiTheme="minorHAnsi" w:cstheme="minorBidi"/>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B4007B"/>
    <w:multiLevelType w:val="hybridMultilevel"/>
    <w:tmpl w:val="1B1C8028"/>
    <w:lvl w:ilvl="0" w:tplc="0CB8352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29829">
    <w:abstractNumId w:val="31"/>
  </w:num>
  <w:num w:numId="2" w16cid:durableId="1133208766">
    <w:abstractNumId w:val="30"/>
  </w:num>
  <w:num w:numId="3" w16cid:durableId="2126582305">
    <w:abstractNumId w:val="24"/>
  </w:num>
  <w:num w:numId="4" w16cid:durableId="26025886">
    <w:abstractNumId w:val="18"/>
  </w:num>
  <w:num w:numId="5" w16cid:durableId="1971354802">
    <w:abstractNumId w:val="11"/>
  </w:num>
  <w:num w:numId="6" w16cid:durableId="267663516">
    <w:abstractNumId w:val="8"/>
  </w:num>
  <w:num w:numId="7" w16cid:durableId="140924475">
    <w:abstractNumId w:val="12"/>
  </w:num>
  <w:num w:numId="8" w16cid:durableId="1286696895">
    <w:abstractNumId w:val="6"/>
  </w:num>
  <w:num w:numId="9" w16cid:durableId="1270819174">
    <w:abstractNumId w:val="32"/>
  </w:num>
  <w:num w:numId="10" w16cid:durableId="360516378">
    <w:abstractNumId w:val="4"/>
  </w:num>
  <w:num w:numId="11" w16cid:durableId="357465783">
    <w:abstractNumId w:val="33"/>
  </w:num>
  <w:num w:numId="12" w16cid:durableId="1179002945">
    <w:abstractNumId w:val="25"/>
  </w:num>
  <w:num w:numId="13" w16cid:durableId="1516067159">
    <w:abstractNumId w:val="17"/>
  </w:num>
  <w:num w:numId="14" w16cid:durableId="532234057">
    <w:abstractNumId w:val="14"/>
  </w:num>
  <w:num w:numId="15" w16cid:durableId="1683050961">
    <w:abstractNumId w:val="20"/>
  </w:num>
  <w:num w:numId="16" w16cid:durableId="2113282791">
    <w:abstractNumId w:val="21"/>
  </w:num>
  <w:num w:numId="17" w16cid:durableId="938220847">
    <w:abstractNumId w:val="26"/>
  </w:num>
  <w:num w:numId="18" w16cid:durableId="1992128272">
    <w:abstractNumId w:val="0"/>
  </w:num>
  <w:num w:numId="19" w16cid:durableId="1929996264">
    <w:abstractNumId w:val="2"/>
  </w:num>
  <w:num w:numId="20" w16cid:durableId="617763101">
    <w:abstractNumId w:val="27"/>
  </w:num>
  <w:num w:numId="21" w16cid:durableId="2041008681">
    <w:abstractNumId w:val="29"/>
  </w:num>
  <w:num w:numId="22" w16cid:durableId="718164313">
    <w:abstractNumId w:val="34"/>
  </w:num>
  <w:num w:numId="23" w16cid:durableId="2100786712">
    <w:abstractNumId w:val="9"/>
  </w:num>
  <w:num w:numId="24" w16cid:durableId="1176186736">
    <w:abstractNumId w:val="35"/>
  </w:num>
  <w:num w:numId="25" w16cid:durableId="187064292">
    <w:abstractNumId w:val="13"/>
  </w:num>
  <w:num w:numId="26" w16cid:durableId="47536235">
    <w:abstractNumId w:val="15"/>
  </w:num>
  <w:num w:numId="27" w16cid:durableId="1460731945">
    <w:abstractNumId w:val="7"/>
  </w:num>
  <w:num w:numId="28" w16cid:durableId="1231231185">
    <w:abstractNumId w:val="16"/>
  </w:num>
  <w:num w:numId="29" w16cid:durableId="1350990471">
    <w:abstractNumId w:val="22"/>
  </w:num>
  <w:num w:numId="30" w16cid:durableId="2008364459">
    <w:abstractNumId w:val="28"/>
  </w:num>
  <w:num w:numId="31" w16cid:durableId="1317108565">
    <w:abstractNumId w:val="5"/>
  </w:num>
  <w:num w:numId="32" w16cid:durableId="818690333">
    <w:abstractNumId w:val="10"/>
  </w:num>
  <w:num w:numId="33" w16cid:durableId="1966932909">
    <w:abstractNumId w:val="3"/>
  </w:num>
  <w:num w:numId="34" w16cid:durableId="1744990077">
    <w:abstractNumId w:val="19"/>
  </w:num>
  <w:num w:numId="35" w16cid:durableId="128784600">
    <w:abstractNumId w:val="23"/>
  </w:num>
  <w:num w:numId="36" w16cid:durableId="209573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A10AD0"/>
    <w:rsid w:val="000022D0"/>
    <w:rsid w:val="00020979"/>
    <w:rsid w:val="00025326"/>
    <w:rsid w:val="00054B09"/>
    <w:rsid w:val="0007073A"/>
    <w:rsid w:val="000D47FB"/>
    <w:rsid w:val="000E7841"/>
    <w:rsid w:val="00111207"/>
    <w:rsid w:val="00113DAB"/>
    <w:rsid w:val="0013600C"/>
    <w:rsid w:val="00144A75"/>
    <w:rsid w:val="0014782E"/>
    <w:rsid w:val="00150506"/>
    <w:rsid w:val="001609DE"/>
    <w:rsid w:val="00162C94"/>
    <w:rsid w:val="0019007D"/>
    <w:rsid w:val="00191B45"/>
    <w:rsid w:val="001A0086"/>
    <w:rsid w:val="001A0EB9"/>
    <w:rsid w:val="001D3451"/>
    <w:rsid w:val="001F4450"/>
    <w:rsid w:val="00211939"/>
    <w:rsid w:val="00216B0D"/>
    <w:rsid w:val="00221BDD"/>
    <w:rsid w:val="00225A38"/>
    <w:rsid w:val="00243920"/>
    <w:rsid w:val="00250166"/>
    <w:rsid w:val="00263E0E"/>
    <w:rsid w:val="00277566"/>
    <w:rsid w:val="002863A1"/>
    <w:rsid w:val="002B15BC"/>
    <w:rsid w:val="00352823"/>
    <w:rsid w:val="00374B9D"/>
    <w:rsid w:val="0037509A"/>
    <w:rsid w:val="003823CB"/>
    <w:rsid w:val="00386D0E"/>
    <w:rsid w:val="0039679E"/>
    <w:rsid w:val="003B4A14"/>
    <w:rsid w:val="003C3C53"/>
    <w:rsid w:val="003E0BFA"/>
    <w:rsid w:val="00410903"/>
    <w:rsid w:val="004428D7"/>
    <w:rsid w:val="00461004"/>
    <w:rsid w:val="004639FE"/>
    <w:rsid w:val="004B73AD"/>
    <w:rsid w:val="004C7144"/>
    <w:rsid w:val="004E5D86"/>
    <w:rsid w:val="00514F95"/>
    <w:rsid w:val="00546BC4"/>
    <w:rsid w:val="00546D4F"/>
    <w:rsid w:val="00567D70"/>
    <w:rsid w:val="005C26C3"/>
    <w:rsid w:val="005D0425"/>
    <w:rsid w:val="005F5F1D"/>
    <w:rsid w:val="0060159E"/>
    <w:rsid w:val="00604851"/>
    <w:rsid w:val="00605EA6"/>
    <w:rsid w:val="00663633"/>
    <w:rsid w:val="00671404"/>
    <w:rsid w:val="006C067A"/>
    <w:rsid w:val="006D3452"/>
    <w:rsid w:val="00704D7D"/>
    <w:rsid w:val="007112C6"/>
    <w:rsid w:val="00711FA4"/>
    <w:rsid w:val="007243CD"/>
    <w:rsid w:val="00753F6A"/>
    <w:rsid w:val="00761630"/>
    <w:rsid w:val="0076318E"/>
    <w:rsid w:val="00782955"/>
    <w:rsid w:val="00792735"/>
    <w:rsid w:val="007A3124"/>
    <w:rsid w:val="007C45A0"/>
    <w:rsid w:val="007D3E04"/>
    <w:rsid w:val="00811D37"/>
    <w:rsid w:val="00831D47"/>
    <w:rsid w:val="00865D7E"/>
    <w:rsid w:val="0086751D"/>
    <w:rsid w:val="0089174C"/>
    <w:rsid w:val="00893AEB"/>
    <w:rsid w:val="008B3D76"/>
    <w:rsid w:val="008C2222"/>
    <w:rsid w:val="008E2F82"/>
    <w:rsid w:val="008F442E"/>
    <w:rsid w:val="00905AF7"/>
    <w:rsid w:val="00905E38"/>
    <w:rsid w:val="00913AE4"/>
    <w:rsid w:val="009229FE"/>
    <w:rsid w:val="00931E52"/>
    <w:rsid w:val="00944E6B"/>
    <w:rsid w:val="009563DD"/>
    <w:rsid w:val="00986DE2"/>
    <w:rsid w:val="009C603E"/>
    <w:rsid w:val="009D0079"/>
    <w:rsid w:val="009D457E"/>
    <w:rsid w:val="00A04C40"/>
    <w:rsid w:val="00A10AD0"/>
    <w:rsid w:val="00A17C69"/>
    <w:rsid w:val="00A20B8E"/>
    <w:rsid w:val="00A23FEF"/>
    <w:rsid w:val="00A240C7"/>
    <w:rsid w:val="00A45CDA"/>
    <w:rsid w:val="00A64C74"/>
    <w:rsid w:val="00A70EB3"/>
    <w:rsid w:val="00A71C53"/>
    <w:rsid w:val="00A74254"/>
    <w:rsid w:val="00AA5E99"/>
    <w:rsid w:val="00AB5DE1"/>
    <w:rsid w:val="00AF1FED"/>
    <w:rsid w:val="00AF5B7F"/>
    <w:rsid w:val="00B141A6"/>
    <w:rsid w:val="00B25C1E"/>
    <w:rsid w:val="00B2726B"/>
    <w:rsid w:val="00B31A4C"/>
    <w:rsid w:val="00B34AE4"/>
    <w:rsid w:val="00B80CF4"/>
    <w:rsid w:val="00B97996"/>
    <w:rsid w:val="00BB2CDD"/>
    <w:rsid w:val="00C03293"/>
    <w:rsid w:val="00C20625"/>
    <w:rsid w:val="00C24DD2"/>
    <w:rsid w:val="00C4413F"/>
    <w:rsid w:val="00C75E31"/>
    <w:rsid w:val="00C827C2"/>
    <w:rsid w:val="00C8656A"/>
    <w:rsid w:val="00CD37D9"/>
    <w:rsid w:val="00CE6667"/>
    <w:rsid w:val="00D20A07"/>
    <w:rsid w:val="00D2558E"/>
    <w:rsid w:val="00D423CF"/>
    <w:rsid w:val="00D5314F"/>
    <w:rsid w:val="00D5581C"/>
    <w:rsid w:val="00DD6E0B"/>
    <w:rsid w:val="00DE3952"/>
    <w:rsid w:val="00DE76E4"/>
    <w:rsid w:val="00DF095B"/>
    <w:rsid w:val="00E23676"/>
    <w:rsid w:val="00E46026"/>
    <w:rsid w:val="00EA230A"/>
    <w:rsid w:val="00EB5CD1"/>
    <w:rsid w:val="00ED55FA"/>
    <w:rsid w:val="00F170C9"/>
    <w:rsid w:val="00F3686B"/>
    <w:rsid w:val="00F73683"/>
    <w:rsid w:val="00FA6C0D"/>
    <w:rsid w:val="00FB4D18"/>
    <w:rsid w:val="00FB57B6"/>
    <w:rsid w:val="00FF7A43"/>
    <w:rsid w:val="077FBC68"/>
    <w:rsid w:val="276A49C7"/>
    <w:rsid w:val="2CCD63C6"/>
    <w:rsid w:val="469298E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D45C4"/>
  <w15:docId w15:val="{10184B4D-30E1-49AA-95AA-4FB7CAD0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592"/>
    <w:pPr>
      <w:spacing w:line="280" w:lineRule="exact"/>
    </w:pPr>
  </w:style>
  <w:style w:type="paragraph" w:styleId="Heading1">
    <w:name w:val="heading 1"/>
    <w:basedOn w:val="Normal"/>
    <w:next w:val="Normal"/>
    <w:link w:val="Heading1Char"/>
    <w:uiPriority w:val="9"/>
    <w:qFormat/>
    <w:rsid w:val="00B97996"/>
    <w:pPr>
      <w:keepNext/>
      <w:keepLines/>
      <w:spacing w:before="240"/>
      <w:outlineLvl w:val="0"/>
    </w:pPr>
    <w:rPr>
      <w:rFonts w:asciiTheme="majorHAnsi" w:eastAsiaTheme="majorEastAsia" w:hAnsiTheme="majorHAnsi" w:cstheme="majorBidi"/>
      <w:color w:val="61595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5AC"/>
    <w:pPr>
      <w:tabs>
        <w:tab w:val="center" w:pos="4320"/>
        <w:tab w:val="right" w:pos="8640"/>
      </w:tabs>
    </w:pPr>
  </w:style>
  <w:style w:type="character" w:customStyle="1" w:styleId="HeaderChar">
    <w:name w:val="Header Char"/>
    <w:basedOn w:val="DefaultParagraphFont"/>
    <w:link w:val="Header"/>
    <w:uiPriority w:val="99"/>
    <w:rsid w:val="005335AC"/>
    <w:rPr>
      <w:sz w:val="24"/>
    </w:rPr>
  </w:style>
  <w:style w:type="paragraph" w:styleId="Footer">
    <w:name w:val="footer"/>
    <w:basedOn w:val="Normal"/>
    <w:link w:val="FooterChar"/>
    <w:uiPriority w:val="99"/>
    <w:unhideWhenUsed/>
    <w:rsid w:val="005335AC"/>
    <w:pPr>
      <w:tabs>
        <w:tab w:val="center" w:pos="4320"/>
        <w:tab w:val="right" w:pos="8640"/>
      </w:tabs>
    </w:pPr>
  </w:style>
  <w:style w:type="character" w:customStyle="1" w:styleId="FooterChar">
    <w:name w:val="Footer Char"/>
    <w:basedOn w:val="DefaultParagraphFont"/>
    <w:link w:val="Footer"/>
    <w:uiPriority w:val="99"/>
    <w:rsid w:val="005335AC"/>
    <w:rPr>
      <w:sz w:val="24"/>
    </w:rPr>
  </w:style>
  <w:style w:type="paragraph" w:customStyle="1" w:styleId="Introduction">
    <w:name w:val="Introduction"/>
    <w:basedOn w:val="Normal"/>
    <w:uiPriority w:val="99"/>
    <w:rsid w:val="00041778"/>
    <w:pPr>
      <w:widowControl w:val="0"/>
      <w:tabs>
        <w:tab w:val="left" w:pos="270"/>
      </w:tabs>
      <w:autoSpaceDE w:val="0"/>
      <w:autoSpaceDN w:val="0"/>
      <w:adjustRightInd w:val="0"/>
      <w:spacing w:line="280" w:lineRule="atLeast"/>
      <w:textAlignment w:val="center"/>
    </w:pPr>
    <w:rPr>
      <w:rFonts w:cs="TiemposText-RegularItalic"/>
      <w:i/>
      <w:iCs/>
      <w:color w:val="000000"/>
    </w:rPr>
  </w:style>
  <w:style w:type="paragraph" w:customStyle="1" w:styleId="MainSubhead">
    <w:name w:val="Main Subhead"/>
    <w:basedOn w:val="Normal"/>
    <w:next w:val="Normal"/>
    <w:uiPriority w:val="99"/>
    <w:rsid w:val="00585CE8"/>
    <w:pPr>
      <w:widowControl w:val="0"/>
      <w:pBdr>
        <w:bottom w:val="single" w:sz="4" w:space="4" w:color="BA0000"/>
      </w:pBdr>
      <w:tabs>
        <w:tab w:val="left" w:pos="180"/>
      </w:tabs>
      <w:suppressAutoHyphens/>
      <w:autoSpaceDE w:val="0"/>
      <w:autoSpaceDN w:val="0"/>
      <w:adjustRightInd w:val="0"/>
      <w:spacing w:after="100" w:line="240" w:lineRule="atLeast"/>
      <w:textAlignment w:val="center"/>
    </w:pPr>
    <w:rPr>
      <w:rFonts w:ascii="Calibri" w:hAnsi="Calibri" w:cs="ProximaNova-Extrabld"/>
      <w:b/>
      <w:color w:val="000000"/>
      <w:sz w:val="26"/>
      <w:szCs w:val="24"/>
    </w:rPr>
  </w:style>
  <w:style w:type="paragraph" w:customStyle="1" w:styleId="BodyCopy-Standard">
    <w:name w:val="Body Copy - Standard"/>
    <w:basedOn w:val="Normal"/>
    <w:uiPriority w:val="99"/>
    <w:rsid w:val="00B2291C"/>
    <w:pPr>
      <w:widowControl w:val="0"/>
      <w:tabs>
        <w:tab w:val="left" w:pos="270"/>
      </w:tabs>
      <w:autoSpaceDE w:val="0"/>
      <w:autoSpaceDN w:val="0"/>
      <w:adjustRightInd w:val="0"/>
      <w:spacing w:line="280" w:lineRule="atLeast"/>
      <w:textAlignment w:val="center"/>
    </w:pPr>
    <w:rPr>
      <w:rFonts w:ascii="TiemposText-Regular" w:hAnsi="TiemposText-Regular" w:cs="TiemposText-Regular"/>
      <w:color w:val="000000"/>
      <w:sz w:val="18"/>
      <w:szCs w:val="18"/>
    </w:rPr>
  </w:style>
  <w:style w:type="paragraph" w:customStyle="1" w:styleId="Subhead2">
    <w:name w:val="Subhead 2"/>
    <w:basedOn w:val="Normal"/>
    <w:uiPriority w:val="99"/>
    <w:rsid w:val="00EB1592"/>
    <w:rPr>
      <w:b/>
      <w:sz w:val="22"/>
    </w:rPr>
  </w:style>
  <w:style w:type="paragraph" w:customStyle="1" w:styleId="BodyCopy-Bulleted">
    <w:name w:val="Body Copy - Bulleted"/>
    <w:basedOn w:val="Normal"/>
    <w:uiPriority w:val="99"/>
    <w:rsid w:val="00B2291C"/>
    <w:pPr>
      <w:widowControl w:val="0"/>
      <w:tabs>
        <w:tab w:val="left" w:pos="180"/>
      </w:tabs>
      <w:autoSpaceDE w:val="0"/>
      <w:autoSpaceDN w:val="0"/>
      <w:adjustRightInd w:val="0"/>
      <w:spacing w:line="280" w:lineRule="atLeast"/>
      <w:ind w:left="180" w:hanging="180"/>
      <w:textAlignment w:val="center"/>
    </w:pPr>
    <w:rPr>
      <w:rFonts w:ascii="TiemposText-Regular" w:hAnsi="TiemposText-Regular" w:cs="TiemposText-Regular"/>
      <w:color w:val="000000"/>
      <w:sz w:val="18"/>
      <w:szCs w:val="18"/>
    </w:rPr>
  </w:style>
  <w:style w:type="paragraph" w:styleId="ListParagraph">
    <w:name w:val="List Paragraph"/>
    <w:basedOn w:val="Normal"/>
    <w:uiPriority w:val="34"/>
    <w:qFormat/>
    <w:rsid w:val="00DE76E4"/>
    <w:pPr>
      <w:numPr>
        <w:numId w:val="2"/>
      </w:numPr>
      <w:ind w:left="180" w:hanging="180"/>
    </w:pPr>
  </w:style>
  <w:style w:type="character" w:styleId="PageNumber">
    <w:name w:val="page number"/>
    <w:basedOn w:val="DefaultParagraphFont"/>
    <w:uiPriority w:val="99"/>
    <w:semiHidden/>
    <w:unhideWhenUsed/>
    <w:rsid w:val="000C7154"/>
  </w:style>
  <w:style w:type="paragraph" w:customStyle="1" w:styleId="MainHead">
    <w:name w:val="Main Head"/>
    <w:basedOn w:val="Normal"/>
    <w:qFormat/>
    <w:rsid w:val="00041778"/>
    <w:pPr>
      <w:spacing w:line="540" w:lineRule="exact"/>
    </w:pPr>
    <w:rPr>
      <w:b/>
      <w:noProof/>
      <w:sz w:val="48"/>
    </w:rPr>
  </w:style>
  <w:style w:type="paragraph" w:customStyle="1" w:styleId="BasicParagraph">
    <w:name w:val="[Basic Paragraph]"/>
    <w:basedOn w:val="Normal"/>
    <w:uiPriority w:val="99"/>
    <w:rsid w:val="006F4A84"/>
    <w:pPr>
      <w:widowControl w:val="0"/>
      <w:autoSpaceDE w:val="0"/>
      <w:autoSpaceDN w:val="0"/>
      <w:adjustRightInd w:val="0"/>
      <w:spacing w:line="288" w:lineRule="auto"/>
      <w:textAlignment w:val="center"/>
    </w:pPr>
    <w:rPr>
      <w:rFonts w:ascii="ProximaNova-Extrabld" w:hAnsi="ProximaNova-Extrabld"/>
      <w:color w:val="000000"/>
      <w:sz w:val="24"/>
      <w:szCs w:val="24"/>
    </w:rPr>
  </w:style>
  <w:style w:type="paragraph" w:customStyle="1" w:styleId="Endnotes-Numbered">
    <w:name w:val="Endnotes - Numbered"/>
    <w:basedOn w:val="Normal"/>
    <w:uiPriority w:val="99"/>
    <w:rsid w:val="009A6452"/>
    <w:pPr>
      <w:widowControl w:val="0"/>
      <w:suppressAutoHyphens/>
      <w:autoSpaceDE w:val="0"/>
      <w:autoSpaceDN w:val="0"/>
      <w:adjustRightInd w:val="0"/>
      <w:spacing w:after="100" w:line="180" w:lineRule="atLeast"/>
      <w:ind w:left="360" w:hanging="360"/>
      <w:textAlignment w:val="center"/>
    </w:pPr>
    <w:rPr>
      <w:rFonts w:ascii="TiemposText-Regular" w:hAnsi="TiemposText-Regular" w:cs="TiemposText-Regular"/>
      <w:color w:val="000000"/>
      <w:sz w:val="14"/>
      <w:szCs w:val="14"/>
    </w:rPr>
  </w:style>
  <w:style w:type="paragraph" w:styleId="EndnoteText">
    <w:name w:val="endnote text"/>
    <w:basedOn w:val="Normal"/>
    <w:link w:val="EndnoteTextChar"/>
    <w:uiPriority w:val="99"/>
    <w:unhideWhenUsed/>
    <w:rsid w:val="00162C94"/>
    <w:pPr>
      <w:spacing w:line="240" w:lineRule="auto"/>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162C9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162C94"/>
    <w:rPr>
      <w:vertAlign w:val="superscript"/>
    </w:rPr>
  </w:style>
  <w:style w:type="character" w:styleId="Hyperlink">
    <w:name w:val="Hyperlink"/>
    <w:basedOn w:val="DefaultParagraphFont"/>
    <w:uiPriority w:val="99"/>
    <w:unhideWhenUsed/>
    <w:rsid w:val="00162C94"/>
    <w:rPr>
      <w:color w:val="9F958D" w:themeColor="hyperlink"/>
      <w:u w:val="single"/>
    </w:rPr>
  </w:style>
  <w:style w:type="character" w:styleId="CommentReference">
    <w:name w:val="annotation reference"/>
    <w:basedOn w:val="DefaultParagraphFont"/>
    <w:uiPriority w:val="99"/>
    <w:semiHidden/>
    <w:unhideWhenUsed/>
    <w:rsid w:val="00162C94"/>
    <w:rPr>
      <w:sz w:val="16"/>
      <w:szCs w:val="16"/>
    </w:rPr>
  </w:style>
  <w:style w:type="paragraph" w:styleId="CommentText">
    <w:name w:val="annotation text"/>
    <w:basedOn w:val="Normal"/>
    <w:link w:val="CommentTextChar"/>
    <w:uiPriority w:val="99"/>
    <w:unhideWhenUsed/>
    <w:rsid w:val="00162C94"/>
    <w:pPr>
      <w:spacing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162C94"/>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162C94"/>
    <w:rPr>
      <w:color w:val="605E5C"/>
      <w:shd w:val="clear" w:color="auto" w:fill="E1DFDD"/>
    </w:rPr>
  </w:style>
  <w:style w:type="character" w:customStyle="1" w:styleId="Heading1Char">
    <w:name w:val="Heading 1 Char"/>
    <w:basedOn w:val="DefaultParagraphFont"/>
    <w:link w:val="Heading1"/>
    <w:uiPriority w:val="9"/>
    <w:rsid w:val="00B97996"/>
    <w:rPr>
      <w:rFonts w:asciiTheme="majorHAnsi" w:eastAsiaTheme="majorEastAsia" w:hAnsiTheme="majorHAnsi" w:cstheme="majorBidi"/>
      <w:color w:val="615953"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C3C53"/>
    <w:rPr>
      <w:rFonts w:ascii="Cambria" w:eastAsia="Cambria" w:hAnsi="Cambria" w:cs="Times New Roman"/>
      <w:b/>
      <w:bCs/>
    </w:rPr>
  </w:style>
  <w:style w:type="character" w:customStyle="1" w:styleId="CommentSubjectChar">
    <w:name w:val="Comment Subject Char"/>
    <w:basedOn w:val="CommentTextChar"/>
    <w:link w:val="CommentSubject"/>
    <w:uiPriority w:val="99"/>
    <w:semiHidden/>
    <w:rsid w:val="003C3C53"/>
    <w:rPr>
      <w:rFonts w:asciiTheme="minorHAnsi" w:eastAsiaTheme="minorHAnsi" w:hAnsiTheme="minorHAnsi" w:cstheme="minorBidi"/>
      <w:b/>
      <w:bCs/>
    </w:rPr>
  </w:style>
  <w:style w:type="paragraph" w:styleId="Revision">
    <w:name w:val="Revision"/>
    <w:hidden/>
    <w:uiPriority w:val="99"/>
    <w:semiHidden/>
    <w:rsid w:val="00DF095B"/>
  </w:style>
  <w:style w:type="table" w:styleId="TableGrid">
    <w:name w:val="Table Grid"/>
    <w:basedOn w:val="TableNormal"/>
    <w:uiPriority w:val="59"/>
    <w:rsid w:val="00FB4123"/>
    <w:tblPr>
      <w:tblBorders>
        <w:top w:val="single" w:sz="4" w:space="0" w:color="181614" w:themeColor="text1"/>
        <w:left w:val="single" w:sz="4" w:space="0" w:color="181614" w:themeColor="text1"/>
        <w:bottom w:val="single" w:sz="4" w:space="0" w:color="181614" w:themeColor="text1"/>
        <w:right w:val="single" w:sz="4" w:space="0" w:color="181614" w:themeColor="text1"/>
        <w:insideH w:val="single" w:sz="4" w:space="0" w:color="181614" w:themeColor="text1"/>
        <w:insideV w:val="single" w:sz="4" w:space="0" w:color="181614" w:themeColor="text1"/>
      </w:tblBorders>
    </w:tblPr>
  </w:style>
  <w:style w:type="character" w:customStyle="1" w:styleId="cf01">
    <w:name w:val="cf01"/>
    <w:basedOn w:val="DefaultParagraphFont"/>
    <w:rsid w:val="00604851"/>
    <w:rPr>
      <w:rFonts w:ascii="Segoe UI" w:hAnsi="Segoe UI" w:cs="Segoe UI" w:hint="default"/>
      <w:sz w:val="18"/>
      <w:szCs w:val="18"/>
      <w:shd w:val="clear" w:color="auto" w:fill="FFFFFF"/>
    </w:rPr>
  </w:style>
  <w:style w:type="character" w:styleId="Emphasis">
    <w:name w:val="Emphasis"/>
    <w:basedOn w:val="DefaultParagraphFont"/>
    <w:uiPriority w:val="20"/>
    <w:qFormat/>
    <w:rsid w:val="00604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858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lp.org/publication/model-state-legislation-good-cause-qui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lp.org/publication/good-cause-qui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lp.org/publication/good-cause-quits/" TargetMode="External"/><Relationship Id="rId4" Type="http://schemas.openxmlformats.org/officeDocument/2006/relationships/settings" Target="settings.xml"/><Relationship Id="rId9" Type="http://schemas.openxmlformats.org/officeDocument/2006/relationships/hyperlink" Target="http://www.uipolicyhub.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driguez\Downloads\Policy%20Brief%20Template.dotx" TargetMode="External"/></Relationships>
</file>

<file path=word/theme/theme1.xml><?xml version="1.0" encoding="utf-8"?>
<a:theme xmlns:a="http://schemas.openxmlformats.org/drawingml/2006/main" name="Office Theme">
  <a:themeElements>
    <a:clrScheme name="Custom 4">
      <a:dk1>
        <a:srgbClr val="181614"/>
      </a:dk1>
      <a:lt1>
        <a:sysClr val="window" lastClr="FFFFFF"/>
      </a:lt1>
      <a:dk2>
        <a:srgbClr val="82786F"/>
      </a:dk2>
      <a:lt2>
        <a:srgbClr val="E6E3E1"/>
      </a:lt2>
      <a:accent1>
        <a:srgbClr val="82786F"/>
      </a:accent1>
      <a:accent2>
        <a:srgbClr val="AF272F"/>
      </a:accent2>
      <a:accent3>
        <a:srgbClr val="69A194"/>
      </a:accent3>
      <a:accent4>
        <a:srgbClr val="C6AA5D"/>
      </a:accent4>
      <a:accent5>
        <a:srgbClr val="36749D"/>
      </a:accent5>
      <a:accent6>
        <a:srgbClr val="E6E3E1"/>
      </a:accent6>
      <a:hlink>
        <a:srgbClr val="9F958D"/>
      </a:hlink>
      <a:folHlink>
        <a:srgbClr val="AF272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7205-C583-4AC8-BBF8-E915044B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Brief Template</Template>
  <TotalTime>10</TotalTime>
  <Pages>6</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Kaeser &amp; Wilson Design Ltd.</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Natividad Rodriguez</dc:creator>
  <cp:keywords/>
  <cp:lastModifiedBy>Eleanor Cooney</cp:lastModifiedBy>
  <cp:revision>3</cp:revision>
  <cp:lastPrinted>2015-03-12T16:44:00Z</cp:lastPrinted>
  <dcterms:created xsi:type="dcterms:W3CDTF">2023-11-13T18:01:00Z</dcterms:created>
  <dcterms:modified xsi:type="dcterms:W3CDTF">2023-11-13T18:04:00Z</dcterms:modified>
</cp:coreProperties>
</file>