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C8CC" w14:textId="54DB606D" w:rsidR="004F1F6A" w:rsidRPr="0093712E" w:rsidRDefault="004F1F6A" w:rsidP="004F1F6A">
      <w:pPr>
        <w:widowControl w:val="0"/>
        <w:pBdr>
          <w:bottom w:val="single" w:sz="4" w:space="4" w:color="BA0000"/>
        </w:pBdr>
        <w:tabs>
          <w:tab w:val="left" w:pos="180"/>
        </w:tabs>
        <w:suppressAutoHyphens/>
        <w:autoSpaceDE w:val="0"/>
        <w:autoSpaceDN w:val="0"/>
        <w:adjustRightInd w:val="0"/>
        <w:spacing w:after="100" w:line="276" w:lineRule="auto"/>
        <w:textAlignment w:val="center"/>
        <w:rPr>
          <w:rFonts w:ascii="Calibri" w:eastAsia="Cambria" w:hAnsi="Calibri" w:cs="ProximaNova-Extrabld"/>
          <w:b/>
          <w:color w:val="000000"/>
          <w:sz w:val="26"/>
        </w:rPr>
      </w:pPr>
      <w:r w:rsidRPr="0093712E">
        <w:rPr>
          <w:rFonts w:ascii="Calibri" w:eastAsia="Cambria" w:hAnsi="Calibri" w:cs="ProximaNova-Extrabld"/>
          <w:b/>
          <w:color w:val="000000"/>
          <w:sz w:val="26"/>
        </w:rPr>
        <w:t xml:space="preserve">Model State Legislation: </w:t>
      </w:r>
      <w:r>
        <w:rPr>
          <w:rFonts w:ascii="Calibri" w:eastAsia="Cambria" w:hAnsi="Calibri" w:cs="ProximaNova-Extrabld"/>
          <w:b/>
          <w:color w:val="000000"/>
          <w:sz w:val="26"/>
        </w:rPr>
        <w:t>Overpayment Waivers</w:t>
      </w:r>
      <w:r w:rsidRPr="0093712E">
        <w:rPr>
          <w:rFonts w:ascii="Calibri" w:eastAsia="Cambria" w:hAnsi="Calibri" w:cs="ProximaNova-Extrabld"/>
          <w:b/>
          <w:color w:val="000000"/>
          <w:sz w:val="26"/>
        </w:rPr>
        <w:t xml:space="preserve"> </w:t>
      </w:r>
    </w:p>
    <w:p w14:paraId="51BE2C60" w14:textId="77777777" w:rsidR="004F1F6A" w:rsidRPr="0093712E" w:rsidRDefault="004F1F6A" w:rsidP="004F1F6A">
      <w:pPr>
        <w:spacing w:line="276" w:lineRule="auto"/>
        <w:rPr>
          <w:rFonts w:ascii="Cambria" w:eastAsia="Cambria" w:hAnsi="Cambria" w:cs="Times New Roman"/>
          <w:sz w:val="20"/>
          <w:szCs w:val="20"/>
        </w:rPr>
      </w:pPr>
      <w:r w:rsidRPr="0093712E">
        <w:rPr>
          <w:rFonts w:ascii="Cambria" w:eastAsia="Cambria" w:hAnsi="Cambria" w:cs="Times New Roman"/>
          <w:sz w:val="20"/>
          <w:szCs w:val="20"/>
        </w:rPr>
        <w:t xml:space="preserve">You can use this word version to customize the model state legislation to fit the needs of your state.  The red text is meant to help you customize the model and should be removed before submitting to any state legislature. </w:t>
      </w:r>
    </w:p>
    <w:p w14:paraId="01D2B4C8" w14:textId="7CF2BC7D" w:rsidR="00D1010D" w:rsidRDefault="00D1010D"/>
    <w:p w14:paraId="7567DC5A" w14:textId="3F322A3A"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b/>
          <w:bCs/>
          <w:color w:val="000000"/>
          <w:sz w:val="20"/>
          <w:szCs w:val="20"/>
        </w:rPr>
      </w:pPr>
      <w:r w:rsidRPr="004F1F6A">
        <w:rPr>
          <w:rFonts w:ascii="Cambria" w:eastAsia="Cambria" w:hAnsi="Cambria" w:cs="TiemposText-Regular"/>
          <w:b/>
          <w:bCs/>
          <w:color w:val="000000"/>
          <w:sz w:val="20"/>
          <w:szCs w:val="20"/>
        </w:rPr>
        <w:t>Section 1. Findings and Declarations</w:t>
      </w:r>
    </w:p>
    <w:p w14:paraId="2C7D65B7"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Legislature finds and declares: </w:t>
      </w:r>
    </w:p>
    <w:p w14:paraId="61B3E6D5"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000000"/>
          <w:sz w:val="20"/>
          <w:szCs w:val="20"/>
        </w:rPr>
      </w:pPr>
    </w:p>
    <w:p w14:paraId="4DAB72E9" w14:textId="77777777" w:rsidR="004F1F6A" w:rsidRPr="004F1F6A" w:rsidRDefault="004F1F6A" w:rsidP="004F1F6A">
      <w:pPr>
        <w:numPr>
          <w:ilvl w:val="0"/>
          <w:numId w:val="1"/>
        </w:numPr>
        <w:spacing w:after="240" w:line="276" w:lineRule="auto"/>
        <w:ind w:left="360"/>
        <w:rPr>
          <w:rFonts w:ascii="Cambria" w:eastAsia="Cambria" w:hAnsi="Cambria" w:cs="Times New Roman"/>
          <w:sz w:val="20"/>
          <w:szCs w:val="20"/>
        </w:rPr>
      </w:pPr>
      <w:r w:rsidRPr="004F1F6A">
        <w:rPr>
          <w:rFonts w:ascii="Cambria" w:eastAsia="Cambria" w:hAnsi="Cambria" w:cs="Times New Roman"/>
          <w:sz w:val="20"/>
          <w:szCs w:val="20"/>
        </w:rPr>
        <w:t xml:space="preserve">That ensuring equitable access to unemployment insurance (UI) for all jobless workers are matters of statewide concern. </w:t>
      </w:r>
    </w:p>
    <w:p w14:paraId="45644650" w14:textId="77777777" w:rsidR="004F1F6A" w:rsidRPr="004F1F6A" w:rsidRDefault="004F1F6A" w:rsidP="004F1F6A">
      <w:pPr>
        <w:numPr>
          <w:ilvl w:val="0"/>
          <w:numId w:val="1"/>
        </w:numPr>
        <w:spacing w:after="240" w:line="276" w:lineRule="auto"/>
        <w:ind w:left="360"/>
        <w:rPr>
          <w:rFonts w:ascii="Cambria" w:eastAsia="Cambria" w:hAnsi="Cambria" w:cs="Times New Roman"/>
          <w:sz w:val="20"/>
          <w:szCs w:val="20"/>
        </w:rPr>
      </w:pPr>
      <w:r w:rsidRPr="004F1F6A">
        <w:rPr>
          <w:rFonts w:ascii="Cambria" w:eastAsia="Cambria" w:hAnsi="Cambria" w:cs="Times New Roman"/>
          <w:sz w:val="20"/>
          <w:szCs w:val="20"/>
        </w:rPr>
        <w:t xml:space="preserve">UI overpayments are often the result of circumstances beyond a worker’s control, including mistakes due to confusing or changing agency guidance or forms, employer mistakes or delays in reporting, or delays or mistakes made by the agency. </w:t>
      </w:r>
    </w:p>
    <w:p w14:paraId="32EA3398" w14:textId="77777777" w:rsidR="004F1F6A" w:rsidRPr="004F1F6A" w:rsidRDefault="004F1F6A" w:rsidP="004F1F6A">
      <w:pPr>
        <w:numPr>
          <w:ilvl w:val="0"/>
          <w:numId w:val="1"/>
        </w:numPr>
        <w:spacing w:after="240" w:line="276" w:lineRule="auto"/>
        <w:ind w:left="360"/>
        <w:rPr>
          <w:rFonts w:ascii="Cambria" w:eastAsia="Cambria" w:hAnsi="Cambria" w:cs="Times New Roman"/>
          <w:sz w:val="20"/>
          <w:szCs w:val="20"/>
        </w:rPr>
      </w:pPr>
      <w:r w:rsidRPr="004F1F6A">
        <w:rPr>
          <w:rFonts w:ascii="Cambria" w:eastAsia="Cambria" w:hAnsi="Cambria" w:cs="Times New Roman"/>
          <w:sz w:val="20"/>
          <w:szCs w:val="20"/>
        </w:rPr>
        <w:t xml:space="preserve">Seeking recovery of overpaid benefits from individuals who did not commit fraud causes hardship on working families, creates additional burdens on scarce agency resources, and undermines the purpose of UI. </w:t>
      </w:r>
    </w:p>
    <w:p w14:paraId="5DCA2176" w14:textId="77777777" w:rsidR="004F1F6A" w:rsidRPr="004F1F6A" w:rsidRDefault="004F1F6A" w:rsidP="004F1F6A">
      <w:pPr>
        <w:numPr>
          <w:ilvl w:val="0"/>
          <w:numId w:val="1"/>
        </w:numPr>
        <w:spacing w:after="240" w:line="276" w:lineRule="auto"/>
        <w:ind w:left="360"/>
        <w:rPr>
          <w:rFonts w:ascii="Cambria" w:eastAsia="Cambria" w:hAnsi="Cambria" w:cs="Times New Roman"/>
          <w:sz w:val="20"/>
          <w:szCs w:val="20"/>
        </w:rPr>
      </w:pPr>
      <w:r w:rsidRPr="004F1F6A">
        <w:rPr>
          <w:rFonts w:ascii="Cambria" w:eastAsia="Cambria" w:hAnsi="Cambria" w:cs="Times New Roman"/>
          <w:sz w:val="20"/>
          <w:szCs w:val="20"/>
        </w:rPr>
        <w:t xml:space="preserve">The United States Department of Labor strongly encourages states to waive nonfraud overpayments where recovery would be against equity and good conscience. </w:t>
      </w:r>
    </w:p>
    <w:p w14:paraId="2E72A481"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C00000"/>
          <w:sz w:val="20"/>
          <w:szCs w:val="20"/>
        </w:rPr>
      </w:pPr>
      <w:r w:rsidRPr="004F1F6A">
        <w:rPr>
          <w:rFonts w:ascii="Cambria" w:eastAsia="Cambria" w:hAnsi="Cambria" w:cs="TiemposText-Regular"/>
          <w:b/>
          <w:bCs/>
          <w:color w:val="000000"/>
          <w:sz w:val="20"/>
          <w:szCs w:val="20"/>
        </w:rPr>
        <w:t xml:space="preserve">Section 2. Definitions </w:t>
      </w:r>
      <w:r w:rsidRPr="004F1F6A">
        <w:rPr>
          <w:rFonts w:ascii="Cambria" w:eastAsia="Cambria" w:hAnsi="Cambria" w:cs="TiemposText-Regular"/>
          <w:color w:val="C00000"/>
          <w:sz w:val="20"/>
          <w:szCs w:val="20"/>
        </w:rPr>
        <w:t>[Note: State law may already define these terms. If so, reference the applicable state law definitions].</w:t>
      </w:r>
    </w:p>
    <w:p w14:paraId="7F1DAD45" w14:textId="77777777" w:rsidR="004F1F6A" w:rsidRPr="004F1F6A" w:rsidRDefault="004F1F6A" w:rsidP="004F1F6A">
      <w:pPr>
        <w:spacing w:line="276" w:lineRule="auto"/>
        <w:rPr>
          <w:rFonts w:ascii="Cambria" w:eastAsia="Cambria" w:hAnsi="Cambria" w:cs="Times New Roman"/>
          <w:b/>
          <w:bCs/>
          <w:sz w:val="20"/>
          <w:szCs w:val="20"/>
        </w:rPr>
      </w:pPr>
    </w:p>
    <w:p w14:paraId="308D2A0D" w14:textId="77777777" w:rsidR="004F1F6A" w:rsidRPr="004F1F6A" w:rsidRDefault="004F1F6A" w:rsidP="004F1F6A">
      <w:pPr>
        <w:spacing w:line="276" w:lineRule="auto"/>
        <w:rPr>
          <w:rFonts w:ascii="Cambria" w:eastAsia="Cambria" w:hAnsi="Cambria" w:cs="Times New Roman"/>
          <w:color w:val="C00000"/>
          <w:sz w:val="20"/>
          <w:szCs w:val="20"/>
        </w:rPr>
      </w:pPr>
      <w:r w:rsidRPr="004F1F6A">
        <w:rPr>
          <w:rFonts w:ascii="Cambria" w:eastAsia="Cambria" w:hAnsi="Cambria" w:cs="Times New Roman"/>
          <w:b/>
          <w:bCs/>
          <w:sz w:val="20"/>
          <w:szCs w:val="20"/>
        </w:rPr>
        <w:t xml:space="preserve">“Agency” </w:t>
      </w:r>
      <w:r w:rsidRPr="004F1F6A">
        <w:rPr>
          <w:rFonts w:ascii="Cambria" w:eastAsia="Cambria" w:hAnsi="Cambria" w:cs="Times New Roman"/>
          <w:sz w:val="20"/>
          <w:szCs w:val="20"/>
        </w:rPr>
        <w:t xml:space="preserve">means </w:t>
      </w:r>
      <w:r w:rsidRPr="004F1F6A">
        <w:rPr>
          <w:rFonts w:ascii="Cambria" w:eastAsia="Cambria" w:hAnsi="Cambria" w:cs="Times New Roman"/>
          <w:color w:val="C00000"/>
          <w:sz w:val="20"/>
          <w:szCs w:val="20"/>
        </w:rPr>
        <w:t>[Enter the name of the state agency that administers unemployment insurance].</w:t>
      </w:r>
    </w:p>
    <w:p w14:paraId="32930379" w14:textId="77777777" w:rsidR="004F1F6A" w:rsidRPr="004F1F6A" w:rsidRDefault="004F1F6A" w:rsidP="004F1F6A">
      <w:pPr>
        <w:spacing w:line="276" w:lineRule="auto"/>
        <w:rPr>
          <w:rFonts w:ascii="Cambria" w:eastAsia="Cambria" w:hAnsi="Cambria" w:cs="Times New Roman"/>
          <w:color w:val="C00000"/>
          <w:sz w:val="20"/>
          <w:szCs w:val="20"/>
        </w:rPr>
      </w:pPr>
    </w:p>
    <w:p w14:paraId="4CF90F20" w14:textId="77777777" w:rsidR="004F1F6A" w:rsidRPr="004F1F6A" w:rsidRDefault="004F1F6A" w:rsidP="004F1F6A">
      <w:pPr>
        <w:spacing w:line="276" w:lineRule="auto"/>
        <w:rPr>
          <w:rFonts w:ascii="Cambria" w:eastAsia="Cambria" w:hAnsi="Cambria" w:cs="Times New Roman"/>
          <w:sz w:val="20"/>
          <w:szCs w:val="20"/>
        </w:rPr>
      </w:pPr>
      <w:r w:rsidRPr="004F1F6A">
        <w:rPr>
          <w:rFonts w:ascii="Cambria" w:eastAsia="Cambria" w:hAnsi="Cambria" w:cs="Times New Roman"/>
          <w:b/>
          <w:bCs/>
          <w:sz w:val="20"/>
          <w:szCs w:val="20"/>
        </w:rPr>
        <w:t>“Public assistance benefits”</w:t>
      </w:r>
      <w:r w:rsidRPr="004F1F6A">
        <w:rPr>
          <w:rFonts w:ascii="Cambria" w:eastAsia="Cambria" w:hAnsi="Cambria" w:cs="Times New Roman"/>
          <w:sz w:val="20"/>
          <w:szCs w:val="20"/>
        </w:rPr>
        <w:t xml:space="preserve"> means any federal or state program that provides income-based support or services to individuals making below a certain income. This includes, but is not limited to </w:t>
      </w:r>
      <w:r w:rsidRPr="004F1F6A">
        <w:rPr>
          <w:rFonts w:ascii="Cambria" w:eastAsia="Cambria" w:hAnsi="Cambria" w:cs="Times New Roman"/>
          <w:color w:val="C00000"/>
          <w:sz w:val="20"/>
          <w:szCs w:val="20"/>
        </w:rPr>
        <w:t>[Note: this is not an exhaustive list and should be customized to include your state’s public assistance programs]</w:t>
      </w:r>
      <w:r w:rsidRPr="004F1F6A">
        <w:rPr>
          <w:rFonts w:ascii="Cambria" w:eastAsia="Cambria" w:hAnsi="Cambria" w:cs="Times New Roman"/>
          <w:sz w:val="20"/>
          <w:szCs w:val="20"/>
        </w:rPr>
        <w:t xml:space="preserve">: </w:t>
      </w:r>
    </w:p>
    <w:p w14:paraId="09C6141F"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Supplemental Nutrition Assistance Program.</w:t>
      </w:r>
    </w:p>
    <w:p w14:paraId="0EFEA668"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Temporary Assistance to Needy Families.</w:t>
      </w:r>
    </w:p>
    <w:p w14:paraId="5A429FA6"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 xml:space="preserve">Federal Social Security Disability Insurance or Supplemental Security Income. </w:t>
      </w:r>
    </w:p>
    <w:p w14:paraId="48F3822A"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Means tested Legal Aid services.</w:t>
      </w:r>
    </w:p>
    <w:p w14:paraId="40D55D73"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Low Income Home Energy Assistance Program.</w:t>
      </w:r>
    </w:p>
    <w:p w14:paraId="546ED699"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 xml:space="preserve">Federal or state Earned Income Tax Credit. </w:t>
      </w:r>
    </w:p>
    <w:p w14:paraId="3B2B92E9"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 xml:space="preserve">Public or Subsidized Housing or Voucher. </w:t>
      </w:r>
    </w:p>
    <w:p w14:paraId="11AFBAA1"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Medicaid.</w:t>
      </w:r>
    </w:p>
    <w:p w14:paraId="1D977EFE" w14:textId="77777777" w:rsidR="004F1F6A" w:rsidRPr="004F1F6A" w:rsidRDefault="004F1F6A" w:rsidP="004F1F6A">
      <w:pPr>
        <w:numPr>
          <w:ilvl w:val="0"/>
          <w:numId w:val="3"/>
        </w:numPr>
        <w:spacing w:before="240" w:line="276" w:lineRule="auto"/>
        <w:rPr>
          <w:rFonts w:ascii="Cambria" w:eastAsia="Cambria" w:hAnsi="Cambria" w:cs="Times New Roman"/>
          <w:sz w:val="20"/>
          <w:szCs w:val="20"/>
        </w:rPr>
      </w:pPr>
      <w:r w:rsidRPr="004F1F6A">
        <w:rPr>
          <w:rFonts w:ascii="Cambria" w:eastAsia="Cambria" w:hAnsi="Cambria" w:cs="Times New Roman"/>
          <w:sz w:val="20"/>
          <w:szCs w:val="20"/>
        </w:rPr>
        <w:t>Medicare.</w:t>
      </w:r>
    </w:p>
    <w:p w14:paraId="57EF9B35" w14:textId="77777777" w:rsidR="004F1F6A" w:rsidRPr="004F1F6A" w:rsidRDefault="004F1F6A" w:rsidP="004F1F6A">
      <w:pPr>
        <w:spacing w:line="276" w:lineRule="auto"/>
        <w:rPr>
          <w:rFonts w:ascii="Cambria" w:eastAsia="Cambria" w:hAnsi="Cambria" w:cs="Times New Roman"/>
          <w:color w:val="C00000"/>
          <w:sz w:val="20"/>
          <w:szCs w:val="20"/>
        </w:rPr>
      </w:pPr>
    </w:p>
    <w:p w14:paraId="1E221E4B" w14:textId="77777777" w:rsidR="004F1F6A" w:rsidRPr="004F1F6A" w:rsidRDefault="004F1F6A" w:rsidP="004F1F6A">
      <w:pPr>
        <w:spacing w:line="276" w:lineRule="auto"/>
        <w:rPr>
          <w:rFonts w:ascii="Cambria" w:eastAsia="Cambria" w:hAnsi="Cambria" w:cs="Times New Roman"/>
          <w:sz w:val="20"/>
          <w:szCs w:val="20"/>
        </w:rPr>
      </w:pPr>
      <w:r w:rsidRPr="004F1F6A">
        <w:rPr>
          <w:rFonts w:ascii="Cambria" w:eastAsia="Cambria" w:hAnsi="Cambria" w:cs="Times New Roman"/>
          <w:b/>
          <w:bCs/>
          <w:sz w:val="20"/>
          <w:szCs w:val="20"/>
        </w:rPr>
        <w:lastRenderedPageBreak/>
        <w:t>“Ordinary living expenses”</w:t>
      </w:r>
      <w:r w:rsidRPr="004F1F6A">
        <w:rPr>
          <w:rFonts w:ascii="Cambria" w:eastAsia="Cambria" w:hAnsi="Cambria" w:cs="Times New Roman"/>
          <w:sz w:val="20"/>
          <w:szCs w:val="20"/>
        </w:rPr>
        <w:t xml:space="preserve"> meanings costs associated with ordinary and necessary living expenses of the individual and any other person they are legally responsible for. This includes, but is not limited to, food and clothing, rent, mortgage payments, utilities, loans and credit card balances, childcare, accident and health insurance, taxes, transportation, and medical expenses.</w:t>
      </w:r>
    </w:p>
    <w:p w14:paraId="1DF0D527"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000000"/>
          <w:sz w:val="20"/>
          <w:szCs w:val="20"/>
        </w:rPr>
      </w:pPr>
    </w:p>
    <w:p w14:paraId="3B2DEB98"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b/>
          <w:bCs/>
          <w:color w:val="000000"/>
          <w:sz w:val="20"/>
          <w:szCs w:val="20"/>
        </w:rPr>
      </w:pPr>
      <w:r w:rsidRPr="004F1F6A">
        <w:rPr>
          <w:rFonts w:ascii="Cambria" w:eastAsia="Cambria" w:hAnsi="Cambria" w:cs="TiemposText-Regular"/>
          <w:b/>
          <w:bCs/>
          <w:color w:val="000000"/>
          <w:sz w:val="20"/>
          <w:szCs w:val="20"/>
        </w:rPr>
        <w:t xml:space="preserve">Section 3. Overpayment Waivers </w:t>
      </w:r>
    </w:p>
    <w:p w14:paraId="6BB4096C"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Notwithstanding any other provision to the contrary </w:t>
      </w:r>
      <w:r w:rsidRPr="004F1F6A">
        <w:rPr>
          <w:rFonts w:ascii="Cambria" w:eastAsia="Cambria" w:hAnsi="Cambria" w:cs="TiemposText-Regular"/>
          <w:color w:val="C00000"/>
          <w:sz w:val="20"/>
          <w:szCs w:val="20"/>
        </w:rPr>
        <w:t xml:space="preserve">[Note: Make this more specific by citing to your specific state statute that deals with the collection of overpayments], </w:t>
      </w:r>
      <w:r w:rsidRPr="004F1F6A">
        <w:rPr>
          <w:rFonts w:ascii="Cambria" w:eastAsia="Cambria" w:hAnsi="Cambria" w:cs="TiemposText-Regular"/>
          <w:color w:val="000000"/>
          <w:sz w:val="20"/>
          <w:szCs w:val="20"/>
        </w:rPr>
        <w:t xml:space="preserve">the Agency shall waive recovery of nonfraud overpayments when: </w:t>
      </w:r>
    </w:p>
    <w:p w14:paraId="74DA60F4"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overpayment is through no fault of the individual </w:t>
      </w:r>
      <w:r w:rsidRPr="004F1F6A">
        <w:rPr>
          <w:rFonts w:ascii="Cambria" w:eastAsia="Cambria" w:hAnsi="Cambria" w:cs="TiemposText-Regular"/>
          <w:color w:val="C00000"/>
          <w:sz w:val="20"/>
          <w:szCs w:val="20"/>
        </w:rPr>
        <w:t>[Note: Federal law only requires states to differentiate between fraud and nonfraud overpayments, not whether they are also without fault. However, many states also include this provision, so we have included it in the model]</w:t>
      </w:r>
      <w:r w:rsidRPr="004F1F6A">
        <w:rPr>
          <w:rFonts w:ascii="Cambria" w:eastAsia="Cambria" w:hAnsi="Cambria" w:cs="TiemposText-Regular"/>
          <w:color w:val="000000"/>
          <w:sz w:val="20"/>
          <w:szCs w:val="20"/>
        </w:rPr>
        <w:t xml:space="preserve">; and </w:t>
      </w:r>
    </w:p>
    <w:p w14:paraId="78C6600E"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Recovery of the overpayment would be against equity and good conscience. </w:t>
      </w:r>
    </w:p>
    <w:p w14:paraId="6D5FFD2F"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overpayment shall be through no fault of the individual if the individual provided, or attempted to provide correct information, but Agency or employer action or delay caused the overpayment. This includes, but is not limited to, when: </w:t>
      </w:r>
    </w:p>
    <w:p w14:paraId="1680D6E8"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provided correct information as requested, but the agency failed to take appropriate action with that information or took delayed action when determining or redetermining eligibility. </w:t>
      </w:r>
    </w:p>
    <w:p w14:paraId="67C14C3C"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provided incorrect information due to conflicting, changing, or confusing Agency information or instruction. </w:t>
      </w:r>
    </w:p>
    <w:p w14:paraId="7D967E59"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The individual provided incorrect information after making a good faith effort to contact the agency to clarify what information was needed but was unable to reach the Agency.</w:t>
      </w:r>
    </w:p>
    <w:p w14:paraId="117A1365"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provided incorrect information due to language, education, literacy, or </w:t>
      </w:r>
      <w:proofErr w:type="gramStart"/>
      <w:r w:rsidRPr="004F1F6A">
        <w:rPr>
          <w:rFonts w:ascii="Cambria" w:eastAsia="Cambria" w:hAnsi="Cambria" w:cs="TiemposText-Regular"/>
          <w:color w:val="000000"/>
          <w:sz w:val="20"/>
          <w:szCs w:val="20"/>
        </w:rPr>
        <w:t>other</w:t>
      </w:r>
      <w:proofErr w:type="gramEnd"/>
      <w:r w:rsidRPr="004F1F6A">
        <w:rPr>
          <w:rFonts w:ascii="Cambria" w:eastAsia="Cambria" w:hAnsi="Cambria" w:cs="TiemposText-Regular"/>
          <w:color w:val="000000"/>
          <w:sz w:val="20"/>
          <w:szCs w:val="20"/>
        </w:rPr>
        <w:t xml:space="preserve"> similar barrier. </w:t>
      </w:r>
    </w:p>
    <w:p w14:paraId="1346D54C"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The overpayment is due, at least in part, to agency error, mistake, or delay.</w:t>
      </w:r>
    </w:p>
    <w:p w14:paraId="1F7182A7"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overpayment is due, at least in part, to employer error, mistake, or delay. </w:t>
      </w:r>
    </w:p>
    <w:p w14:paraId="60AE036D"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overpayment is due to a good faith mistake of fact by the individual. </w:t>
      </w:r>
    </w:p>
    <w:p w14:paraId="0EC666BC"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Recovery of an overpayment shall be against equity and good conscience when: </w:t>
      </w:r>
    </w:p>
    <w:p w14:paraId="6C5FF09E"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or a member of the </w:t>
      </w:r>
      <w:r w:rsidRPr="004F1F6A">
        <w:rPr>
          <w:rFonts w:ascii="Cambria" w:eastAsia="Cambria" w:hAnsi="Cambria" w:cs="TiemposText-Regular"/>
          <w:sz w:val="20"/>
          <w:szCs w:val="20"/>
        </w:rPr>
        <w:t xml:space="preserve">individual’s household </w:t>
      </w:r>
      <w:r w:rsidRPr="004F1F6A">
        <w:rPr>
          <w:rFonts w:ascii="Cambria" w:eastAsia="Cambria" w:hAnsi="Cambria" w:cs="TiemposText-Regular"/>
          <w:color w:val="000000"/>
          <w:sz w:val="20"/>
          <w:szCs w:val="20"/>
        </w:rPr>
        <w:t xml:space="preserve">is receiving or has received any public assistance benefits in the year prior to their overpayment determination. </w:t>
      </w:r>
    </w:p>
    <w:p w14:paraId="379ED1B0"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individual’s household income, exclusive of public assistance benefits, during the three months prior to the overpayment determination was at or below four times the federal poverty guidelines as published in the Federal Register by the United States Department of Health and Human Services under the authority of 42 U.S.C. § 9902(2). </w:t>
      </w:r>
      <w:r w:rsidRPr="004F1F6A">
        <w:rPr>
          <w:rFonts w:ascii="Cambria" w:eastAsia="Cambria" w:hAnsi="Cambria" w:cs="TiemposText-Regular"/>
          <w:color w:val="C00000"/>
          <w:sz w:val="20"/>
          <w:szCs w:val="20"/>
        </w:rPr>
        <w:t xml:space="preserve">[Note: In this model we use the federal poverty level as the standard to measure financial hardship. However, there may be better standards to measure against to meet the </w:t>
      </w:r>
      <w:r w:rsidRPr="004F1F6A">
        <w:rPr>
          <w:rFonts w:ascii="Cambria" w:eastAsia="Cambria" w:hAnsi="Cambria" w:cs="TiemposText-Regular"/>
          <w:color w:val="C00000"/>
          <w:sz w:val="20"/>
          <w:szCs w:val="20"/>
        </w:rPr>
        <w:lastRenderedPageBreak/>
        <w:t xml:space="preserve">needs of your state’s workers and ensure a high enough threshold to capture minimum wage workers working full-time. One option would be to set it to include anyone who makes below the state’s average weekly wage]. </w:t>
      </w:r>
    </w:p>
    <w:p w14:paraId="62DF232E"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The individual used the improperly paid benefits to meet ordinary living expenses.</w:t>
      </w:r>
    </w:p>
    <w:p w14:paraId="2555782D"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needs most of their current income to meet ordinary living expenses.  </w:t>
      </w:r>
    </w:p>
    <w:p w14:paraId="5AF00F5E"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Due to the notice that such benefit payment would be made or because of the incorrect payment the individual either relinquished a valuable right or changed position for the worse, including, but not limited to: </w:t>
      </w:r>
    </w:p>
    <w:p w14:paraId="468A6BC1" w14:textId="77777777" w:rsidR="004F1F6A" w:rsidRPr="004F1F6A" w:rsidRDefault="004F1F6A" w:rsidP="004F1F6A">
      <w:pPr>
        <w:widowControl w:val="0"/>
        <w:numPr>
          <w:ilvl w:val="2"/>
          <w:numId w:val="2"/>
        </w:numPr>
        <w:suppressAutoHyphens/>
        <w:autoSpaceDE w:val="0"/>
        <w:autoSpaceDN w:val="0"/>
        <w:adjustRightInd w:val="0"/>
        <w:spacing w:before="240" w:after="80" w:line="276" w:lineRule="auto"/>
        <w:ind w:left="144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incurred a financial obligation, such as a lease, based on benefit payments that they received. </w:t>
      </w:r>
    </w:p>
    <w:p w14:paraId="4754A673" w14:textId="77777777" w:rsidR="004F1F6A" w:rsidRPr="004F1F6A" w:rsidRDefault="004F1F6A" w:rsidP="004F1F6A">
      <w:pPr>
        <w:widowControl w:val="0"/>
        <w:numPr>
          <w:ilvl w:val="2"/>
          <w:numId w:val="2"/>
        </w:numPr>
        <w:suppressAutoHyphens/>
        <w:autoSpaceDE w:val="0"/>
        <w:autoSpaceDN w:val="0"/>
        <w:adjustRightInd w:val="0"/>
        <w:spacing w:before="240" w:after="80" w:line="276" w:lineRule="auto"/>
        <w:ind w:left="144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relied on the benefit payment and took out a loan, in which they have already invested the benefit payment they received. </w:t>
      </w:r>
    </w:p>
    <w:p w14:paraId="158273BB" w14:textId="77777777" w:rsidR="004F1F6A" w:rsidRPr="004F1F6A" w:rsidRDefault="004F1F6A" w:rsidP="004F1F6A">
      <w:pPr>
        <w:widowControl w:val="0"/>
        <w:numPr>
          <w:ilvl w:val="2"/>
          <w:numId w:val="2"/>
        </w:numPr>
        <w:suppressAutoHyphens/>
        <w:autoSpaceDE w:val="0"/>
        <w:autoSpaceDN w:val="0"/>
        <w:adjustRightInd w:val="0"/>
        <w:spacing w:before="240" w:after="80" w:line="276" w:lineRule="auto"/>
        <w:ind w:left="144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individual passed up other financial assistance or was ineligible for other financial assistance because they received the benefits. </w:t>
      </w:r>
    </w:p>
    <w:p w14:paraId="489E7A44"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overpayment was caused, at least in part, by Agency error or the individual relied on the Agency’s publicized information or guidance and that information or guidance was later determined to be erroneous. </w:t>
      </w:r>
    </w:p>
    <w:p w14:paraId="02C5586D"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Repayment defeats the purpose of benefits otherwise authorized. </w:t>
      </w:r>
    </w:p>
    <w:p w14:paraId="67DDF947" w14:textId="77777777" w:rsidR="004F1F6A" w:rsidRPr="004F1F6A" w:rsidRDefault="004F1F6A" w:rsidP="004F1F6A">
      <w:pPr>
        <w:widowControl w:val="0"/>
        <w:numPr>
          <w:ilvl w:val="1"/>
          <w:numId w:val="2"/>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Any other reason the Agency finds sufficient to establish that repayment would be unconscionable. </w:t>
      </w:r>
    </w:p>
    <w:p w14:paraId="49B11507"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To establish the standards set forth in this section, the Agency shall accept all reasonable forms of proof, including, but not limited to, copies of relevant bills, receipts, award letters, and bank statements. If an individual has good cause for not being able to provide these forms of proof, the Agency shall accept a written statement signed by the individual seeking to waive the overpayment attesting to the facts at issue as sufficient proof. The agency shall not require unduly burdensome proof from the claimant.</w:t>
      </w:r>
    </w:p>
    <w:p w14:paraId="29807E2B"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To the extent possible, the Agency shall review and waive the repayment of an overpayment at the time the overpayment determination is made.</w:t>
      </w:r>
    </w:p>
    <w:p w14:paraId="4174FC2E" w14:textId="77777777" w:rsidR="004F1F6A" w:rsidRPr="004F1F6A" w:rsidRDefault="004F1F6A" w:rsidP="004F1F6A">
      <w:pPr>
        <w:widowControl w:val="0"/>
        <w:numPr>
          <w:ilvl w:val="0"/>
          <w:numId w:val="2"/>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To the extent allowed by federal law, this section shall also apply to overpayments of any federal program to expand, supplement, or enhance state unemployment insurance benefits and the Agency shall </w:t>
      </w:r>
      <w:proofErr w:type="gramStart"/>
      <w:r w:rsidRPr="004F1F6A">
        <w:rPr>
          <w:rFonts w:ascii="Cambria" w:eastAsia="Cambria" w:hAnsi="Cambria" w:cs="TiemposText-Regular"/>
          <w:color w:val="000000"/>
          <w:sz w:val="20"/>
          <w:szCs w:val="20"/>
        </w:rPr>
        <w:t>grant waivers of these benefits to the fullest extent</w:t>
      </w:r>
      <w:proofErr w:type="gramEnd"/>
      <w:r w:rsidRPr="004F1F6A">
        <w:rPr>
          <w:rFonts w:ascii="Cambria" w:eastAsia="Cambria" w:hAnsi="Cambria" w:cs="TiemposText-Regular"/>
          <w:color w:val="000000"/>
          <w:sz w:val="20"/>
          <w:szCs w:val="20"/>
        </w:rPr>
        <w:t xml:space="preserve"> possible.  </w:t>
      </w:r>
    </w:p>
    <w:p w14:paraId="3FFB5245"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000000"/>
          <w:sz w:val="20"/>
          <w:szCs w:val="20"/>
        </w:rPr>
      </w:pPr>
    </w:p>
    <w:p w14:paraId="278FE793"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b/>
          <w:bCs/>
          <w:color w:val="000000"/>
          <w:sz w:val="20"/>
          <w:szCs w:val="20"/>
        </w:rPr>
      </w:pPr>
      <w:r w:rsidRPr="004F1F6A">
        <w:rPr>
          <w:rFonts w:ascii="Cambria" w:eastAsia="Cambria" w:hAnsi="Cambria" w:cs="TiemposText-Regular"/>
          <w:b/>
          <w:bCs/>
          <w:color w:val="000000"/>
          <w:sz w:val="20"/>
          <w:szCs w:val="20"/>
        </w:rPr>
        <w:t xml:space="preserve">Section 4. Notice Requirements </w:t>
      </w:r>
    </w:p>
    <w:p w14:paraId="56B3C951" w14:textId="77777777" w:rsidR="004F1F6A" w:rsidRPr="004F1F6A" w:rsidRDefault="004F1F6A" w:rsidP="004F1F6A">
      <w:pPr>
        <w:widowControl w:val="0"/>
        <w:numPr>
          <w:ilvl w:val="0"/>
          <w:numId w:val="4"/>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Agency shall provide notice of an individual’s right to request a waiver in the notice of overpayment. This notice shall include both the individual’s right to waiver and clear instructions on how the individual applies for the waiver. </w:t>
      </w:r>
    </w:p>
    <w:p w14:paraId="4A3F1D3D" w14:textId="77777777" w:rsidR="004F1F6A" w:rsidRPr="004F1F6A" w:rsidRDefault="004F1F6A" w:rsidP="004F1F6A">
      <w:pPr>
        <w:widowControl w:val="0"/>
        <w:numPr>
          <w:ilvl w:val="0"/>
          <w:numId w:val="4"/>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If the Agency denies an individual’s waiver application, it shall provide written notice of the denial that includes a </w:t>
      </w:r>
      <w:r w:rsidRPr="004F1F6A">
        <w:rPr>
          <w:rFonts w:ascii="Cambria" w:eastAsia="Cambria" w:hAnsi="Cambria" w:cs="TiemposText-Regular"/>
          <w:color w:val="000000"/>
          <w:sz w:val="20"/>
          <w:szCs w:val="20"/>
        </w:rPr>
        <w:lastRenderedPageBreak/>
        <w:t xml:space="preserve">statement in plain language that explains the reason for the denial so the individual can understand the basis for the denial. </w:t>
      </w:r>
      <w:r w:rsidRPr="004F1F6A">
        <w:rPr>
          <w:rFonts w:ascii="Cambria" w:eastAsia="Cambria" w:hAnsi="Cambria" w:cs="TiemposText-Regular"/>
          <w:color w:val="C00000"/>
          <w:sz w:val="20"/>
          <w:szCs w:val="20"/>
        </w:rPr>
        <w:t xml:space="preserve">[Note: If your state allows workers to enter repayment plans for overpayments, you should also ensure the denial notice includes information on how to enter a repayment plan]. </w:t>
      </w:r>
    </w:p>
    <w:p w14:paraId="72518DD1" w14:textId="77777777" w:rsidR="004F1F6A" w:rsidRPr="004F1F6A" w:rsidRDefault="004F1F6A" w:rsidP="004F1F6A">
      <w:pPr>
        <w:widowControl w:val="0"/>
        <w:numPr>
          <w:ilvl w:val="0"/>
          <w:numId w:val="4"/>
        </w:numPr>
        <w:suppressAutoHyphens/>
        <w:autoSpaceDE w:val="0"/>
        <w:autoSpaceDN w:val="0"/>
        <w:adjustRightInd w:val="0"/>
        <w:spacing w:before="240" w:after="80" w:line="276" w:lineRule="auto"/>
        <w:ind w:left="360"/>
        <w:textAlignment w:val="center"/>
        <w:rPr>
          <w:rFonts w:ascii="Cambria" w:eastAsia="Cambria" w:hAnsi="Cambria" w:cs="TiemposText-Regular"/>
          <w:sz w:val="20"/>
          <w:szCs w:val="20"/>
        </w:rPr>
      </w:pPr>
      <w:r w:rsidRPr="004F1F6A">
        <w:rPr>
          <w:rFonts w:ascii="Cambria" w:eastAsia="Cambria" w:hAnsi="Cambria" w:cs="TiemposText-Regular"/>
          <w:sz w:val="20"/>
          <w:szCs w:val="20"/>
        </w:rPr>
        <w:t xml:space="preserve">Notices that do not comply with this section shall be treated the same as if no notice was provided. </w:t>
      </w:r>
    </w:p>
    <w:p w14:paraId="3DBA70E7" w14:textId="77777777" w:rsidR="004F1F6A" w:rsidRPr="004F1F6A" w:rsidRDefault="004F1F6A" w:rsidP="004F1F6A">
      <w:pPr>
        <w:widowControl w:val="0"/>
        <w:suppressAutoHyphens/>
        <w:autoSpaceDE w:val="0"/>
        <w:autoSpaceDN w:val="0"/>
        <w:adjustRightInd w:val="0"/>
        <w:spacing w:before="240" w:after="80" w:line="276" w:lineRule="auto"/>
        <w:textAlignment w:val="center"/>
        <w:rPr>
          <w:rFonts w:ascii="Cambria" w:eastAsia="Cambria" w:hAnsi="Cambria" w:cs="TiemposText-Regular"/>
          <w:b/>
          <w:bCs/>
          <w:color w:val="000000"/>
          <w:sz w:val="20"/>
          <w:szCs w:val="20"/>
        </w:rPr>
      </w:pPr>
      <w:r w:rsidRPr="004F1F6A">
        <w:rPr>
          <w:rFonts w:ascii="Cambria" w:eastAsia="Cambria" w:hAnsi="Cambria" w:cs="TiemposText-Regular"/>
          <w:b/>
          <w:bCs/>
          <w:color w:val="000000"/>
          <w:sz w:val="20"/>
          <w:szCs w:val="20"/>
        </w:rPr>
        <w:t>Section 5. Recovery and Refunds</w:t>
      </w:r>
    </w:p>
    <w:p w14:paraId="348A3000" w14:textId="77777777" w:rsidR="004F1F6A" w:rsidRPr="004F1F6A" w:rsidRDefault="004F1F6A" w:rsidP="004F1F6A">
      <w:pPr>
        <w:widowControl w:val="0"/>
        <w:numPr>
          <w:ilvl w:val="0"/>
          <w:numId w:val="5"/>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Agency shall not attempt to recover an overpayment until there is a final determination that the debt is in fact owed and appeals are exhausted. The Agency shall not attempt to recover an overpayment when there is a pending waiver application and until there is a final determination that the person is not eligible for a waiver and all appeals are exhausted. This includes even if the appeal or waiver application is untimely. </w:t>
      </w:r>
    </w:p>
    <w:p w14:paraId="346040EC" w14:textId="77777777" w:rsidR="004F1F6A" w:rsidRPr="004F1F6A" w:rsidRDefault="004F1F6A" w:rsidP="004F1F6A">
      <w:pPr>
        <w:widowControl w:val="0"/>
        <w:numPr>
          <w:ilvl w:val="0"/>
          <w:numId w:val="5"/>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If an overpayment becomes due, the Agency shall provide the individual with the option of </w:t>
      </w:r>
      <w:proofErr w:type="gramStart"/>
      <w:r w:rsidRPr="004F1F6A">
        <w:rPr>
          <w:rFonts w:ascii="Cambria" w:eastAsia="Cambria" w:hAnsi="Cambria" w:cs="TiemposText-Regular"/>
          <w:color w:val="000000"/>
          <w:sz w:val="20"/>
          <w:szCs w:val="20"/>
        </w:rPr>
        <w:t>entering into</w:t>
      </w:r>
      <w:proofErr w:type="gramEnd"/>
      <w:r w:rsidRPr="004F1F6A">
        <w:rPr>
          <w:rFonts w:ascii="Cambria" w:eastAsia="Cambria" w:hAnsi="Cambria" w:cs="TiemposText-Regular"/>
          <w:color w:val="000000"/>
          <w:sz w:val="20"/>
          <w:szCs w:val="20"/>
        </w:rPr>
        <w:t xml:space="preserve"> a repayment plan to satisfy the overpayment. The repayment plan shall consist of reasonable weekly, bi-weekly, or monthly payments that allow the individual to make the payment and still afford ordinary living expenses. If the individual has a change in life circumstances affecting their ability to comply with the repayment plan, the Agency shall allow them to adjust the plan. </w:t>
      </w:r>
    </w:p>
    <w:p w14:paraId="6BA77E2A"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color w:val="000000"/>
          <w:sz w:val="20"/>
          <w:szCs w:val="20"/>
        </w:rPr>
      </w:pPr>
    </w:p>
    <w:p w14:paraId="13A008B2" w14:textId="77777777" w:rsidR="004F1F6A" w:rsidRPr="004F1F6A" w:rsidRDefault="004F1F6A" w:rsidP="004F1F6A">
      <w:pPr>
        <w:widowControl w:val="0"/>
        <w:suppressAutoHyphens/>
        <w:autoSpaceDE w:val="0"/>
        <w:autoSpaceDN w:val="0"/>
        <w:adjustRightInd w:val="0"/>
        <w:spacing w:after="80" w:line="276" w:lineRule="auto"/>
        <w:textAlignment w:val="center"/>
        <w:rPr>
          <w:rFonts w:ascii="Cambria" w:eastAsia="Cambria" w:hAnsi="Cambria" w:cs="TiemposText-Regular"/>
          <w:b/>
          <w:bCs/>
          <w:color w:val="000000"/>
          <w:sz w:val="20"/>
          <w:szCs w:val="20"/>
        </w:rPr>
      </w:pPr>
      <w:r w:rsidRPr="004F1F6A">
        <w:rPr>
          <w:rFonts w:ascii="Cambria" w:eastAsia="Cambria" w:hAnsi="Cambria" w:cs="TiemposText-Regular"/>
          <w:b/>
          <w:bCs/>
          <w:color w:val="000000"/>
          <w:sz w:val="20"/>
          <w:szCs w:val="20"/>
        </w:rPr>
        <w:t xml:space="preserve">Section 6. Reporting </w:t>
      </w:r>
    </w:p>
    <w:p w14:paraId="7D7A5CD1" w14:textId="77777777" w:rsidR="004F1F6A" w:rsidRPr="004F1F6A" w:rsidRDefault="004F1F6A" w:rsidP="004F1F6A">
      <w:pPr>
        <w:widowControl w:val="0"/>
        <w:numPr>
          <w:ilvl w:val="0"/>
          <w:numId w:val="6"/>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By the end of the month following each completed calendar quarter, the Agency shall provide a written report regarding overpayments and waivers to the legislature and make the report publicly available in a prominent location on the Agency’s website.</w:t>
      </w:r>
    </w:p>
    <w:p w14:paraId="5A47BB0E" w14:textId="77777777" w:rsidR="004F1F6A" w:rsidRPr="004F1F6A" w:rsidRDefault="004F1F6A" w:rsidP="004F1F6A">
      <w:pPr>
        <w:widowControl w:val="0"/>
        <w:numPr>
          <w:ilvl w:val="0"/>
          <w:numId w:val="6"/>
        </w:numPr>
        <w:suppressAutoHyphens/>
        <w:autoSpaceDE w:val="0"/>
        <w:autoSpaceDN w:val="0"/>
        <w:adjustRightInd w:val="0"/>
        <w:spacing w:before="240" w:after="80" w:line="276" w:lineRule="auto"/>
        <w:ind w:left="36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The report must include all the following information from the immediately preceding quarter deidentified and disaggregated by race, ethnicity, gender, location, poverty level, and type of benefit:</w:t>
      </w:r>
    </w:p>
    <w:p w14:paraId="0CDFEF1E" w14:textId="77777777" w:rsidR="004F1F6A" w:rsidRPr="004F1F6A" w:rsidRDefault="004F1F6A" w:rsidP="004F1F6A">
      <w:pPr>
        <w:widowControl w:val="0"/>
        <w:numPr>
          <w:ilvl w:val="1"/>
          <w:numId w:val="6"/>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total number of overpayments established, broken down by fraud and nonfraud. </w:t>
      </w:r>
    </w:p>
    <w:p w14:paraId="05E4FC03" w14:textId="77777777" w:rsidR="004F1F6A" w:rsidRPr="004F1F6A" w:rsidRDefault="004F1F6A" w:rsidP="004F1F6A">
      <w:pPr>
        <w:widowControl w:val="0"/>
        <w:numPr>
          <w:ilvl w:val="1"/>
          <w:numId w:val="6"/>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total number of waiver applications received. </w:t>
      </w:r>
    </w:p>
    <w:p w14:paraId="3CA4B5B7" w14:textId="77777777" w:rsidR="004F1F6A" w:rsidRPr="004F1F6A" w:rsidRDefault="004F1F6A" w:rsidP="004F1F6A">
      <w:pPr>
        <w:widowControl w:val="0"/>
        <w:numPr>
          <w:ilvl w:val="1"/>
          <w:numId w:val="6"/>
        </w:numPr>
        <w:suppressAutoHyphens/>
        <w:autoSpaceDE w:val="0"/>
        <w:autoSpaceDN w:val="0"/>
        <w:adjustRightInd w:val="0"/>
        <w:spacing w:before="240" w:after="80" w:line="276" w:lineRule="auto"/>
        <w:ind w:left="1080"/>
        <w:textAlignment w:val="center"/>
        <w:rPr>
          <w:rFonts w:ascii="Cambria" w:eastAsia="Cambria" w:hAnsi="Cambria" w:cs="TiemposText-Regular"/>
          <w:color w:val="000000"/>
          <w:sz w:val="20"/>
          <w:szCs w:val="20"/>
        </w:rPr>
      </w:pPr>
      <w:r w:rsidRPr="004F1F6A">
        <w:rPr>
          <w:rFonts w:ascii="Cambria" w:eastAsia="Cambria" w:hAnsi="Cambria" w:cs="TiemposText-Regular"/>
          <w:color w:val="000000"/>
          <w:sz w:val="20"/>
          <w:szCs w:val="20"/>
        </w:rPr>
        <w:t xml:space="preserve">The total number of waivers granted and denied, broken down by the reasons for the denial. </w:t>
      </w:r>
    </w:p>
    <w:p w14:paraId="0735FEDA" w14:textId="77777777" w:rsidR="004F1F6A" w:rsidRDefault="004F1F6A"/>
    <w:sectPr w:rsidR="004F1F6A" w:rsidSect="004F1F6A">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D8181" w14:textId="77777777" w:rsidR="0059797F" w:rsidRDefault="0059797F" w:rsidP="004F1F6A">
      <w:r>
        <w:separator/>
      </w:r>
    </w:p>
  </w:endnote>
  <w:endnote w:type="continuationSeparator" w:id="0">
    <w:p w14:paraId="736C5F45" w14:textId="77777777" w:rsidR="0059797F" w:rsidRDefault="0059797F" w:rsidP="004F1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roximaNova-Extrabld">
    <w:altName w:val="Calibri"/>
    <w:panose1 w:val="00000000000000000000"/>
    <w:charset w:val="4D"/>
    <w:family w:val="auto"/>
    <w:notTrueType/>
    <w:pitch w:val="default"/>
    <w:sig w:usb0="00000003" w:usb1="00000000" w:usb2="00000000" w:usb3="00000000" w:csb0="00000001" w:csb1="00000000"/>
  </w:font>
  <w:font w:name="TiemposText-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62236"/>
      <w:docPartObj>
        <w:docPartGallery w:val="Page Numbers (Bottom of Page)"/>
        <w:docPartUnique/>
      </w:docPartObj>
    </w:sdtPr>
    <w:sdtEndPr>
      <w:rPr>
        <w:noProof/>
      </w:rPr>
    </w:sdtEndPr>
    <w:sdtContent>
      <w:p w14:paraId="2D8535D5" w14:textId="32F51341" w:rsidR="004F1F6A" w:rsidRDefault="004F1F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1740EE" w14:textId="77777777" w:rsidR="004F1F6A" w:rsidRDefault="004F1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8A42" w14:textId="77777777" w:rsidR="0059797F" w:rsidRDefault="0059797F" w:rsidP="004F1F6A">
      <w:r>
        <w:separator/>
      </w:r>
    </w:p>
  </w:footnote>
  <w:footnote w:type="continuationSeparator" w:id="0">
    <w:p w14:paraId="150A12F1" w14:textId="77777777" w:rsidR="0059797F" w:rsidRDefault="0059797F" w:rsidP="004F1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C7833"/>
    <w:multiLevelType w:val="hybridMultilevel"/>
    <w:tmpl w:val="C5167042"/>
    <w:lvl w:ilvl="0" w:tplc="2BFCAD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312A9D"/>
    <w:multiLevelType w:val="hybridMultilevel"/>
    <w:tmpl w:val="199CC11E"/>
    <w:lvl w:ilvl="0" w:tplc="2BFCADA2">
      <w:start w:val="1"/>
      <w:numFmt w:val="lowerLetter"/>
      <w:lvlText w:val="(%1)"/>
      <w:lvlJc w:val="left"/>
      <w:pPr>
        <w:ind w:left="720" w:hanging="360"/>
      </w:pPr>
      <w:rPr>
        <w:rFonts w:hint="default"/>
      </w:rPr>
    </w:lvl>
    <w:lvl w:ilvl="1" w:tplc="C53655B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5753C"/>
    <w:multiLevelType w:val="hybridMultilevel"/>
    <w:tmpl w:val="8DC2B5D8"/>
    <w:lvl w:ilvl="0" w:tplc="3CBC7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366677"/>
    <w:multiLevelType w:val="hybridMultilevel"/>
    <w:tmpl w:val="0622BD10"/>
    <w:lvl w:ilvl="0" w:tplc="A980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F432A"/>
    <w:multiLevelType w:val="hybridMultilevel"/>
    <w:tmpl w:val="ABE868E8"/>
    <w:lvl w:ilvl="0" w:tplc="2BFCADA2">
      <w:start w:val="1"/>
      <w:numFmt w:val="lowerLetter"/>
      <w:lvlText w:val="(%1)"/>
      <w:lvlJc w:val="left"/>
      <w:pPr>
        <w:ind w:left="720" w:hanging="360"/>
      </w:pPr>
      <w:rPr>
        <w:rFonts w:hint="default"/>
      </w:rPr>
    </w:lvl>
    <w:lvl w:ilvl="1" w:tplc="C53655BC">
      <w:start w:val="1"/>
      <w:numFmt w:val="lowerRoman"/>
      <w:lvlText w:val="(%2)"/>
      <w:lvlJc w:val="right"/>
      <w:pPr>
        <w:ind w:left="1440" w:hanging="360"/>
      </w:pPr>
      <w:rPr>
        <w:rFonts w:hint="default"/>
      </w:rPr>
    </w:lvl>
    <w:lvl w:ilvl="2" w:tplc="3524F6E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7950D0"/>
    <w:multiLevelType w:val="hybridMultilevel"/>
    <w:tmpl w:val="3D0C6C6E"/>
    <w:lvl w:ilvl="0" w:tplc="88A6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86645">
    <w:abstractNumId w:val="0"/>
  </w:num>
  <w:num w:numId="2" w16cid:durableId="887959461">
    <w:abstractNumId w:val="4"/>
  </w:num>
  <w:num w:numId="3" w16cid:durableId="88894393">
    <w:abstractNumId w:val="2"/>
  </w:num>
  <w:num w:numId="4" w16cid:durableId="2023631599">
    <w:abstractNumId w:val="3"/>
  </w:num>
  <w:num w:numId="5" w16cid:durableId="1486817732">
    <w:abstractNumId w:val="5"/>
  </w:num>
  <w:num w:numId="6" w16cid:durableId="1365907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4F1F6A"/>
    <w:rsid w:val="0059797F"/>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F6A"/>
    <w:pPr>
      <w:tabs>
        <w:tab w:val="center" w:pos="4680"/>
        <w:tab w:val="right" w:pos="9360"/>
      </w:tabs>
    </w:pPr>
  </w:style>
  <w:style w:type="character" w:customStyle="1" w:styleId="HeaderChar">
    <w:name w:val="Header Char"/>
    <w:basedOn w:val="DefaultParagraphFont"/>
    <w:link w:val="Header"/>
    <w:uiPriority w:val="99"/>
    <w:rsid w:val="004F1F6A"/>
  </w:style>
  <w:style w:type="paragraph" w:styleId="Footer">
    <w:name w:val="footer"/>
    <w:basedOn w:val="Normal"/>
    <w:link w:val="FooterChar"/>
    <w:uiPriority w:val="99"/>
    <w:unhideWhenUsed/>
    <w:rsid w:val="004F1F6A"/>
    <w:pPr>
      <w:tabs>
        <w:tab w:val="center" w:pos="4680"/>
        <w:tab w:val="right" w:pos="9360"/>
      </w:tabs>
    </w:pPr>
  </w:style>
  <w:style w:type="character" w:customStyle="1" w:styleId="FooterChar">
    <w:name w:val="Footer Char"/>
    <w:basedOn w:val="DefaultParagraphFont"/>
    <w:link w:val="Footer"/>
    <w:uiPriority w:val="99"/>
    <w:rsid w:val="004F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1424</Words>
  <Characters>8122</Characters>
  <Application>Microsoft Office Word</Application>
  <DocSecurity>0</DocSecurity>
  <Lines>67</Lines>
  <Paragraphs>19</Paragraphs>
  <ScaleCrop>false</ScaleCrop>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Jenna Gerry</cp:lastModifiedBy>
  <cp:revision>2</cp:revision>
  <dcterms:created xsi:type="dcterms:W3CDTF">2018-02-09T21:34:00Z</dcterms:created>
  <dcterms:modified xsi:type="dcterms:W3CDTF">2022-09-21T21:29:00Z</dcterms:modified>
</cp:coreProperties>
</file>